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F2" w:rsidRPr="00A17E6E" w:rsidRDefault="00340BF2" w:rsidP="00453C98">
      <w:pPr>
        <w:ind w:right="-143"/>
        <w:jc w:val="center"/>
        <w:rPr>
          <w:rFonts w:ascii="Calibri" w:hAnsi="Calibri"/>
          <w:b/>
          <w:bCs/>
          <w:sz w:val="36"/>
        </w:rPr>
      </w:pPr>
      <w:r w:rsidRPr="00BC74BD">
        <w:rPr>
          <w:rFonts w:ascii="Calibri" w:hAnsi="Calibri"/>
          <w:b/>
          <w:bCs/>
          <w:sz w:val="36"/>
        </w:rPr>
        <w:t>Terms and Conditions</w:t>
      </w:r>
    </w:p>
    <w:p w:rsidR="00340BF2" w:rsidRPr="00A17E6E" w:rsidRDefault="00340BF2" w:rsidP="00340BF2">
      <w:pPr>
        <w:jc w:val="center"/>
        <w:rPr>
          <w:rFonts w:ascii="Calibri" w:hAnsi="Calibri"/>
          <w:b/>
          <w:bCs/>
          <w:sz w:val="36"/>
        </w:rPr>
      </w:pPr>
    </w:p>
    <w:p w:rsidR="00340BF2" w:rsidRPr="00A17E6E" w:rsidRDefault="00340BF2" w:rsidP="00340BF2">
      <w:pPr>
        <w:jc w:val="center"/>
        <w:rPr>
          <w:rFonts w:ascii="Calibri" w:hAnsi="Calibri"/>
          <w:b/>
          <w:bCs/>
          <w:sz w:val="36"/>
        </w:rPr>
      </w:pPr>
      <w:r w:rsidRPr="00BC74BD">
        <w:rPr>
          <w:rFonts w:ascii="Calibri" w:hAnsi="Calibri"/>
          <w:b/>
          <w:bCs/>
          <w:sz w:val="36"/>
        </w:rPr>
        <w:t xml:space="preserve">for Loans from </w:t>
      </w:r>
    </w:p>
    <w:p w:rsidR="00340BF2" w:rsidRPr="00A17E6E" w:rsidRDefault="00340BF2" w:rsidP="00340BF2">
      <w:pPr>
        <w:jc w:val="center"/>
        <w:rPr>
          <w:rFonts w:ascii="Calibri" w:hAnsi="Calibri"/>
          <w:b/>
          <w:bCs/>
          <w:sz w:val="36"/>
        </w:rPr>
      </w:pPr>
    </w:p>
    <w:p w:rsidR="00340BF2" w:rsidRPr="00A17E6E" w:rsidRDefault="00340BF2" w:rsidP="00340BF2">
      <w:pPr>
        <w:jc w:val="center"/>
        <w:rPr>
          <w:rFonts w:ascii="Calibri" w:hAnsi="Calibri"/>
          <w:b/>
          <w:bCs/>
          <w:sz w:val="36"/>
        </w:rPr>
      </w:pPr>
      <w:r w:rsidRPr="00BC74BD">
        <w:rPr>
          <w:rFonts w:ascii="Calibri" w:hAnsi="Calibri"/>
          <w:b/>
          <w:bCs/>
          <w:sz w:val="36"/>
        </w:rPr>
        <w:t>The National Museum of Denmark</w:t>
      </w:r>
    </w:p>
    <w:p w:rsidR="00340BF2" w:rsidRDefault="00340BF2" w:rsidP="00340BF2">
      <w:pPr>
        <w:jc w:val="center"/>
        <w:rPr>
          <w:b/>
          <w:bCs/>
          <w:sz w:val="28"/>
        </w:rPr>
      </w:pPr>
    </w:p>
    <w:p w:rsidR="00340BF2" w:rsidRDefault="00340BF2" w:rsidP="00340BF2">
      <w:pPr>
        <w:rPr>
          <w:b/>
          <w:bCs/>
        </w:rPr>
      </w:pPr>
    </w:p>
    <w:p w:rsidR="00340BF2" w:rsidRDefault="00340BF2" w:rsidP="00340BF2">
      <w:pPr>
        <w:rPr>
          <w:b/>
          <w:bCs/>
        </w:rPr>
      </w:pPr>
    </w:p>
    <w:p w:rsidR="00340BF2" w:rsidRPr="00340BF2" w:rsidRDefault="00340BF2" w:rsidP="00340BF2">
      <w:pPr>
        <w:jc w:val="center"/>
        <w:rPr>
          <w:b/>
          <w:bCs/>
        </w:rPr>
      </w:pPr>
    </w:p>
    <w:p w:rsidR="00340BF2" w:rsidRDefault="00340BF2" w:rsidP="00340BF2">
      <w:pPr>
        <w:tabs>
          <w:tab w:val="left" w:pos="1080"/>
        </w:tabs>
        <w:rPr>
          <w:sz w:val="16"/>
          <w:lang w:val="en-GB"/>
        </w:rPr>
        <w:sectPr w:rsidR="00340BF2">
          <w:headerReference w:type="default" r:id="rId7"/>
          <w:footerReference w:type="default" r:id="rId8"/>
          <w:pgSz w:w="12240" w:h="15840" w:code="1"/>
          <w:pgMar w:top="1418" w:right="1797" w:bottom="1259" w:left="1797" w:header="709" w:footer="851" w:gutter="0"/>
          <w:cols w:space="708"/>
          <w:docGrid w:linePitch="360"/>
        </w:sectPr>
      </w:pPr>
      <w:r w:rsidRPr="00340BF2">
        <w:rPr>
          <w:sz w:val="16"/>
        </w:rPr>
        <w:tab/>
      </w:r>
      <w:r w:rsidRPr="00BC74BD">
        <w:rPr>
          <w:rFonts w:ascii="Calibri" w:hAnsi="Calibri"/>
          <w:sz w:val="16"/>
          <w:lang w:val="en-GB"/>
        </w:rPr>
        <w:t xml:space="preserve"> </w:t>
      </w:r>
    </w:p>
    <w:p w:rsidR="00340BF2" w:rsidRPr="00A17E6E" w:rsidRDefault="00340BF2" w:rsidP="00340BF2">
      <w:pPr>
        <w:rPr>
          <w:rFonts w:ascii="Calibri" w:hAnsi="Calibri"/>
          <w:lang w:val="en-GB"/>
        </w:rPr>
      </w:pPr>
      <w:r w:rsidRPr="00BC74BD">
        <w:rPr>
          <w:rFonts w:ascii="Calibri" w:hAnsi="Calibri"/>
          <w:b/>
          <w:lang w:val="en-GB"/>
        </w:rPr>
        <w:lastRenderedPageBreak/>
        <w:t>Contents</w:t>
      </w:r>
      <w:r w:rsidRPr="00BC74BD">
        <w:rPr>
          <w:rFonts w:ascii="Calibri" w:hAnsi="Calibri"/>
          <w:b/>
          <w:lang w:val="en-GB"/>
        </w:rPr>
        <w:tab/>
      </w:r>
    </w:p>
    <w:p w:rsidR="00340BF2" w:rsidRPr="00A17E6E" w:rsidRDefault="00340BF2" w:rsidP="00340BF2">
      <w:pPr>
        <w:rPr>
          <w:rFonts w:ascii="Calibri" w:hAnsi="Calibri"/>
          <w:b/>
          <w:lang w:val="en-GB"/>
        </w:rPr>
      </w:pPr>
    </w:p>
    <w:p w:rsidR="00340BF2" w:rsidRPr="00A17E6E" w:rsidRDefault="00340BF2" w:rsidP="00340BF2">
      <w:pPr>
        <w:rPr>
          <w:rFonts w:ascii="Calibri" w:hAnsi="Calibri"/>
          <w:b/>
          <w:lang w:val="en-GB"/>
        </w:rPr>
      </w:pPr>
    </w:p>
    <w:p w:rsidR="00340BF2" w:rsidRPr="00A17E6E" w:rsidRDefault="00340BF2" w:rsidP="00340BF2">
      <w:pPr>
        <w:rPr>
          <w:rFonts w:ascii="Calibri" w:hAnsi="Calibri"/>
          <w:b/>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7362"/>
        <w:gridCol w:w="1354"/>
      </w:tblGrid>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1. P</w:t>
            </w:r>
            <w:r w:rsidRPr="00BC74BD">
              <w:rPr>
                <w:rFonts w:ascii="Calibri" w:hAnsi="Calibri"/>
                <w:noProof/>
                <w:lang w:val="en-GB"/>
              </w:rPr>
              <w:t>reconditions</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2. </w:t>
            </w:r>
            <w:r w:rsidRPr="00BC74BD">
              <w:rPr>
                <w:rFonts w:ascii="Calibri" w:hAnsi="Calibri"/>
                <w:noProof/>
                <w:lang w:val="en-GB"/>
              </w:rPr>
              <w:t>Loan Agreement</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3. </w:t>
            </w:r>
            <w:r w:rsidRPr="00BC74BD">
              <w:rPr>
                <w:rFonts w:ascii="Calibri" w:hAnsi="Calibri"/>
                <w:noProof/>
                <w:lang w:val="en-GB"/>
              </w:rPr>
              <w:t>Insurance</w:t>
            </w:r>
          </w:p>
        </w:tc>
        <w:tc>
          <w:tcPr>
            <w:tcW w:w="1354" w:type="dxa"/>
          </w:tcPr>
          <w:p w:rsidR="00340BF2" w:rsidRPr="00A17E6E" w:rsidRDefault="00340BF2" w:rsidP="00193C6E">
            <w:pPr>
              <w:pStyle w:val="Sidehoved"/>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4. </w:t>
            </w:r>
            <w:r w:rsidRPr="00BC74BD">
              <w:rPr>
                <w:rFonts w:ascii="Calibri" w:hAnsi="Calibri"/>
                <w:noProof/>
                <w:lang w:val="en-GB"/>
              </w:rPr>
              <w:t>Documentation</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5. </w:t>
            </w:r>
            <w:r w:rsidRPr="00BC74BD">
              <w:rPr>
                <w:rFonts w:ascii="Calibri" w:hAnsi="Calibri"/>
                <w:noProof/>
                <w:lang w:val="en-GB"/>
              </w:rPr>
              <w:t>Conservation</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6. </w:t>
            </w:r>
            <w:r w:rsidRPr="00BC74BD">
              <w:rPr>
                <w:rFonts w:ascii="Calibri" w:hAnsi="Calibri"/>
                <w:noProof/>
                <w:lang w:val="en-GB"/>
              </w:rPr>
              <w:t>Security</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7. </w:t>
            </w:r>
            <w:r w:rsidRPr="00BC74BD">
              <w:rPr>
                <w:rFonts w:ascii="Calibri" w:hAnsi="Calibri"/>
                <w:noProof/>
                <w:lang w:val="en-GB"/>
              </w:rPr>
              <w:t>Environmental Specifications</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8. </w:t>
            </w:r>
            <w:r w:rsidRPr="00BC74BD">
              <w:rPr>
                <w:rFonts w:ascii="Calibri" w:hAnsi="Calibri"/>
                <w:noProof/>
                <w:lang w:val="en-GB"/>
              </w:rPr>
              <w:t>Transport, Courier and Condition Report</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lang w:val="en-GB"/>
              </w:rPr>
              <w:t xml:space="preserve"> 9. Financial Terms</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Pr="00A17E6E" w:rsidRDefault="00340BF2" w:rsidP="00193C6E">
            <w:pPr>
              <w:rPr>
                <w:rFonts w:ascii="Calibri" w:hAnsi="Calibri"/>
                <w:lang w:val="en-GB"/>
              </w:rPr>
            </w:pPr>
            <w:r w:rsidRPr="00BC74BD">
              <w:rPr>
                <w:rFonts w:ascii="Calibri" w:hAnsi="Calibri"/>
                <w:noProof/>
                <w:lang w:val="en-GB"/>
              </w:rPr>
              <w:t>10.  Additional Terms and Conditions</w:t>
            </w:r>
          </w:p>
        </w:tc>
        <w:tc>
          <w:tcPr>
            <w:tcW w:w="1354" w:type="dxa"/>
          </w:tcPr>
          <w:p w:rsidR="00340BF2" w:rsidRPr="00A17E6E" w:rsidRDefault="00340BF2" w:rsidP="00193C6E">
            <w:pPr>
              <w:jc w:val="right"/>
              <w:rPr>
                <w:rFonts w:ascii="Calibri" w:hAnsi="Calibri"/>
                <w:lang w:val="en-GB"/>
              </w:rPr>
            </w:pPr>
          </w:p>
        </w:tc>
      </w:tr>
      <w:tr w:rsidR="00340BF2" w:rsidRPr="00A17E6E" w:rsidTr="00193C6E">
        <w:tc>
          <w:tcPr>
            <w:tcW w:w="7362" w:type="dxa"/>
          </w:tcPr>
          <w:p w:rsidR="00340BF2" w:rsidRDefault="00340BF2" w:rsidP="00193C6E">
            <w:pPr>
              <w:rPr>
                <w:rFonts w:ascii="Calibri" w:hAnsi="Calibri"/>
                <w:noProof/>
                <w:lang w:val="en-GB"/>
              </w:rPr>
            </w:pPr>
            <w:r w:rsidRPr="00BC74BD">
              <w:rPr>
                <w:rFonts w:ascii="Calibri" w:hAnsi="Calibri"/>
                <w:lang w:val="en-GB"/>
              </w:rPr>
              <w:t xml:space="preserve">12. </w:t>
            </w:r>
            <w:r w:rsidRPr="00BC74BD">
              <w:rPr>
                <w:rFonts w:ascii="Calibri" w:hAnsi="Calibri"/>
                <w:noProof/>
                <w:lang w:val="en-GB"/>
              </w:rPr>
              <w:t>Processing the Application, Signatures, Date</w:t>
            </w:r>
          </w:p>
          <w:p w:rsidR="00340BF2" w:rsidRDefault="00340BF2" w:rsidP="00193C6E">
            <w:pPr>
              <w:rPr>
                <w:rFonts w:ascii="Calibri" w:hAnsi="Calibri"/>
                <w:noProof/>
                <w:lang w:val="en-GB"/>
              </w:rPr>
            </w:pPr>
          </w:p>
          <w:p w:rsidR="00340BF2" w:rsidRPr="00A17E6E" w:rsidRDefault="00340BF2" w:rsidP="00193C6E">
            <w:pPr>
              <w:rPr>
                <w:rFonts w:ascii="Calibri" w:hAnsi="Calibri"/>
                <w:lang w:val="en-GB"/>
              </w:rPr>
            </w:pPr>
            <w:r>
              <w:rPr>
                <w:rFonts w:ascii="Calibri" w:hAnsi="Calibri"/>
                <w:noProof/>
                <w:lang w:val="en-GB"/>
              </w:rPr>
              <w:t>Enclosure 1: The National Museum of Denmark’s Insurance Clauses</w:t>
            </w:r>
          </w:p>
        </w:tc>
        <w:tc>
          <w:tcPr>
            <w:tcW w:w="1354" w:type="dxa"/>
          </w:tcPr>
          <w:p w:rsidR="00340BF2" w:rsidRPr="00A17E6E" w:rsidRDefault="00340BF2" w:rsidP="00193C6E">
            <w:pPr>
              <w:jc w:val="right"/>
              <w:rPr>
                <w:rFonts w:ascii="Calibri" w:hAnsi="Calibri"/>
                <w:lang w:val="en-GB"/>
              </w:rPr>
            </w:pPr>
          </w:p>
        </w:tc>
      </w:tr>
    </w:tbl>
    <w:p w:rsidR="00340BF2" w:rsidRPr="00A17E6E" w:rsidRDefault="00340BF2" w:rsidP="00340BF2">
      <w:pPr>
        <w:rPr>
          <w:rFonts w:ascii="Calibri" w:hAnsi="Calibri"/>
          <w:b/>
          <w:lang w:val="en-GB"/>
        </w:rPr>
      </w:pPr>
    </w:p>
    <w:p w:rsidR="00340BF2" w:rsidRPr="00A17E6E" w:rsidRDefault="00340BF2" w:rsidP="00340BF2">
      <w:pPr>
        <w:rPr>
          <w:rFonts w:ascii="Calibri" w:hAnsi="Calibri"/>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Default="00340BF2" w:rsidP="00340BF2">
      <w:pPr>
        <w:rPr>
          <w:b/>
          <w:lang w:val="en-GB"/>
        </w:rPr>
      </w:pPr>
    </w:p>
    <w:p w:rsidR="00340BF2" w:rsidRPr="00A17E6E" w:rsidRDefault="00340BF2" w:rsidP="00340BF2">
      <w:pPr>
        <w:tabs>
          <w:tab w:val="left" w:pos="360"/>
        </w:tabs>
        <w:spacing w:after="120"/>
        <w:rPr>
          <w:rFonts w:ascii="Calibri" w:hAnsi="Calibri"/>
          <w:b/>
          <w:lang w:val="en-GB"/>
        </w:rPr>
      </w:pPr>
      <w:r>
        <w:rPr>
          <w:b/>
          <w:lang w:val="en-GB"/>
        </w:rPr>
        <w:br w:type="page"/>
      </w:r>
      <w:r w:rsidRPr="00BC74BD">
        <w:rPr>
          <w:rFonts w:ascii="Calibri" w:hAnsi="Calibri"/>
          <w:b/>
          <w:lang w:val="en-GB"/>
        </w:rPr>
        <w:lastRenderedPageBreak/>
        <w:t>1.</w:t>
      </w:r>
      <w:r w:rsidRPr="00BC74BD">
        <w:rPr>
          <w:rFonts w:ascii="Calibri" w:hAnsi="Calibri"/>
          <w:b/>
          <w:lang w:val="en-GB"/>
        </w:rPr>
        <w:tab/>
        <w:t>Preconditions</w:t>
      </w:r>
    </w:p>
    <w:p w:rsidR="00340BF2" w:rsidRPr="00A17E6E" w:rsidRDefault="00340BF2" w:rsidP="00340BF2">
      <w:pPr>
        <w:rPr>
          <w:rFonts w:ascii="Calibri" w:hAnsi="Calibri"/>
          <w:lang w:val="en-GB"/>
        </w:rPr>
      </w:pPr>
      <w:r w:rsidRPr="00BC74BD">
        <w:rPr>
          <w:rFonts w:ascii="Calibri" w:hAnsi="Calibri"/>
          <w:lang w:val="en-GB"/>
        </w:rPr>
        <w:t>Requests for loan from the National Museum should be addressed to the head of the relevant collection.</w:t>
      </w:r>
    </w:p>
    <w:p w:rsidR="00340BF2" w:rsidRPr="00A17E6E" w:rsidRDefault="00340BF2" w:rsidP="00340BF2">
      <w:pPr>
        <w:rPr>
          <w:rFonts w:ascii="Calibri" w:hAnsi="Calibri"/>
          <w:lang w:val="en-GB"/>
        </w:rPr>
      </w:pPr>
    </w:p>
    <w:p w:rsidR="00340BF2" w:rsidRPr="00A17E6E" w:rsidRDefault="00340BF2" w:rsidP="00340BF2">
      <w:pPr>
        <w:rPr>
          <w:rFonts w:ascii="Calibri" w:hAnsi="Calibri"/>
          <w:lang w:val="en-GB"/>
        </w:rPr>
      </w:pPr>
      <w:r w:rsidRPr="00BC74BD">
        <w:rPr>
          <w:rFonts w:ascii="Calibri" w:hAnsi="Calibri"/>
          <w:lang w:val="en-GB"/>
        </w:rPr>
        <w:t xml:space="preserve">Processing of requests for loans shall proceed only after the applicant, has accepted in writing, the general terms and conditions laid down in this document (“Terms and Conditions for Loans from the National Museum of Denmark”). </w:t>
      </w:r>
    </w:p>
    <w:p w:rsidR="00340BF2" w:rsidRPr="00A17E6E" w:rsidRDefault="00340BF2" w:rsidP="00340BF2">
      <w:pPr>
        <w:pStyle w:val="Brdtekstindrykning"/>
        <w:ind w:left="0"/>
        <w:rPr>
          <w:rFonts w:ascii="Calibri" w:hAnsi="Calibri"/>
          <w:lang w:val="en-GB"/>
        </w:rPr>
      </w:pP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2.</w:t>
      </w:r>
      <w:r w:rsidRPr="00BC74BD">
        <w:rPr>
          <w:rFonts w:ascii="Calibri" w:hAnsi="Calibri"/>
          <w:b/>
          <w:lang w:val="en-GB"/>
        </w:rPr>
        <w:tab/>
        <w:t>Loan Agreement</w:t>
      </w:r>
    </w:p>
    <w:p w:rsidR="00340BF2" w:rsidRPr="00A17E6E" w:rsidRDefault="00340BF2" w:rsidP="00340BF2">
      <w:pPr>
        <w:rPr>
          <w:rFonts w:ascii="Calibri" w:hAnsi="Calibri"/>
          <w:lang w:val="en-GB"/>
        </w:rPr>
      </w:pPr>
      <w:r w:rsidRPr="00BC74BD">
        <w:rPr>
          <w:rFonts w:ascii="Calibri" w:hAnsi="Calibri"/>
          <w:lang w:val="en-GB"/>
        </w:rPr>
        <w:t>The National Museum of Denmark (hereinafter referred to as “The National Museum”) shall prepare a statement specifying preconditions and financial conditions to be included in the Loan Agreement.</w:t>
      </w:r>
    </w:p>
    <w:p w:rsidR="00340BF2" w:rsidRPr="00A17E6E" w:rsidRDefault="00340BF2" w:rsidP="00340BF2">
      <w:pPr>
        <w:rPr>
          <w:rFonts w:ascii="Calibri" w:hAnsi="Calibri"/>
          <w:lang w:val="en-GB"/>
        </w:rPr>
      </w:pPr>
    </w:p>
    <w:p w:rsidR="00340BF2" w:rsidRPr="00A17E6E" w:rsidRDefault="00340BF2" w:rsidP="00340BF2">
      <w:pPr>
        <w:rPr>
          <w:rFonts w:ascii="Calibri" w:hAnsi="Calibri"/>
          <w:lang w:val="en-GB"/>
        </w:rPr>
      </w:pPr>
      <w:r w:rsidRPr="00BC74BD">
        <w:rPr>
          <w:rFonts w:ascii="Calibri" w:hAnsi="Calibri"/>
          <w:lang w:val="en-GB"/>
        </w:rPr>
        <w:t>The Loan Agreement shall be signed in good time by both The National Museum and the Borrowing Institution (hereinafter referred to as “the Borrower”).</w:t>
      </w:r>
    </w:p>
    <w:p w:rsidR="00340BF2" w:rsidRPr="00A17E6E" w:rsidRDefault="00340BF2" w:rsidP="00340BF2">
      <w:pPr>
        <w:pStyle w:val="Sidehoved"/>
        <w:rPr>
          <w:rFonts w:ascii="Calibri" w:hAnsi="Calibri"/>
          <w:lang w:val="en-GB"/>
        </w:rPr>
      </w:pPr>
    </w:p>
    <w:p w:rsidR="00340BF2" w:rsidRPr="00A17E6E" w:rsidRDefault="00340BF2" w:rsidP="00340BF2">
      <w:pPr>
        <w:rPr>
          <w:rFonts w:ascii="Calibri" w:hAnsi="Calibri"/>
          <w:lang w:val="en-GB"/>
        </w:rPr>
      </w:pPr>
      <w:r w:rsidRPr="00BC74BD">
        <w:rPr>
          <w:rFonts w:ascii="Calibri" w:hAnsi="Calibri"/>
          <w:lang w:val="en-GB"/>
        </w:rPr>
        <w:t xml:space="preserve">When either written acceptance is received or the contract has been signed can conservation treatment, photography, etc., commence. </w:t>
      </w:r>
    </w:p>
    <w:p w:rsidR="00340BF2" w:rsidRPr="00A17E6E" w:rsidRDefault="00340BF2" w:rsidP="00340BF2">
      <w:pPr>
        <w:pStyle w:val="Sidehoved"/>
        <w:rPr>
          <w:rFonts w:ascii="Calibri" w:hAnsi="Calibri"/>
          <w:lang w:val="en-GB"/>
        </w:rPr>
      </w:pP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3.</w:t>
      </w:r>
      <w:r w:rsidRPr="00BC74BD">
        <w:rPr>
          <w:rFonts w:ascii="Calibri" w:hAnsi="Calibri"/>
          <w:b/>
          <w:lang w:val="en-GB"/>
        </w:rPr>
        <w:tab/>
        <w:t>Insurance</w:t>
      </w:r>
    </w:p>
    <w:p w:rsidR="00340BF2" w:rsidRPr="00A17E6E" w:rsidRDefault="00340BF2" w:rsidP="00340BF2">
      <w:pPr>
        <w:numPr>
          <w:ilvl w:val="0"/>
          <w:numId w:val="14"/>
        </w:numPr>
        <w:spacing w:after="120"/>
        <w:rPr>
          <w:rFonts w:ascii="Calibri" w:hAnsi="Calibri"/>
          <w:lang w:val="en-GB"/>
        </w:rPr>
      </w:pPr>
      <w:r w:rsidRPr="00BC74BD">
        <w:rPr>
          <w:rFonts w:ascii="Calibri" w:hAnsi="Calibri"/>
          <w:lang w:val="en-GB"/>
        </w:rPr>
        <w:t xml:space="preserve">All objects must be covered either by a Government Indemnity or by an insurance policy contracted out by the Borrower with an insurance company approved by The National Museum. </w:t>
      </w:r>
    </w:p>
    <w:p w:rsidR="00340BF2" w:rsidRPr="00A17E6E" w:rsidRDefault="00340BF2" w:rsidP="00340BF2">
      <w:pPr>
        <w:numPr>
          <w:ilvl w:val="0"/>
          <w:numId w:val="14"/>
        </w:numPr>
        <w:spacing w:after="120"/>
        <w:rPr>
          <w:rFonts w:ascii="Calibri" w:hAnsi="Calibri"/>
          <w:lang w:val="en-GB"/>
        </w:rPr>
      </w:pPr>
      <w:r w:rsidRPr="00BC74BD">
        <w:rPr>
          <w:rFonts w:ascii="Calibri" w:hAnsi="Calibri"/>
          <w:spacing w:val="-3"/>
          <w:lang w:val="en-GB"/>
        </w:rPr>
        <w:t xml:space="preserve">The insurance shall be based on the assessed value of each object to be loaned. </w:t>
      </w:r>
      <w:r w:rsidRPr="00BC74BD">
        <w:rPr>
          <w:rFonts w:ascii="Calibri" w:hAnsi="Calibri"/>
          <w:lang w:val="en-GB"/>
        </w:rPr>
        <w:t xml:space="preserve">The insurable value of the objects in question shall be set only by The National Museum and can only be modified by The National Museum. </w:t>
      </w:r>
    </w:p>
    <w:p w:rsidR="00340BF2" w:rsidRPr="00A17E6E" w:rsidRDefault="00340BF2" w:rsidP="00340BF2">
      <w:pPr>
        <w:numPr>
          <w:ilvl w:val="0"/>
          <w:numId w:val="14"/>
        </w:numPr>
        <w:spacing w:after="120"/>
        <w:rPr>
          <w:rFonts w:ascii="Calibri" w:hAnsi="Calibri"/>
          <w:lang w:val="en-GB"/>
        </w:rPr>
      </w:pPr>
      <w:r w:rsidRPr="00BC74BD">
        <w:rPr>
          <w:rFonts w:ascii="Calibri" w:hAnsi="Calibri"/>
          <w:lang w:val="en-GB"/>
        </w:rPr>
        <w:t xml:space="preserve">A copy of the insurance </w:t>
      </w:r>
      <w:r w:rsidR="00AC2C01" w:rsidRPr="0083390F">
        <w:rPr>
          <w:rFonts w:ascii="Calibri" w:hAnsi="Calibri"/>
          <w:lang w:val="en-GB"/>
        </w:rPr>
        <w:t>certificate</w:t>
      </w:r>
      <w:r w:rsidRPr="0083390F">
        <w:rPr>
          <w:rFonts w:ascii="Calibri" w:hAnsi="Calibri"/>
          <w:lang w:val="en-GB"/>
        </w:rPr>
        <w:t xml:space="preserve"> </w:t>
      </w:r>
      <w:r w:rsidRPr="00BC74BD">
        <w:rPr>
          <w:rFonts w:ascii="Calibri" w:hAnsi="Calibri"/>
          <w:lang w:val="en-GB"/>
        </w:rPr>
        <w:t xml:space="preserve">shall be submitted to The National </w:t>
      </w:r>
      <w:r w:rsidRPr="0083390F">
        <w:rPr>
          <w:rFonts w:ascii="Calibri" w:hAnsi="Calibri"/>
          <w:lang w:val="en-GB"/>
        </w:rPr>
        <w:t>Museum,</w:t>
      </w:r>
      <w:r w:rsidRPr="00BC74BD">
        <w:rPr>
          <w:rFonts w:ascii="Calibri" w:hAnsi="Calibri"/>
          <w:lang w:val="en-GB"/>
        </w:rPr>
        <w:t xml:space="preserve"> together with the Loan Agreement prior to transport. The insurance </w:t>
      </w:r>
      <w:r w:rsidR="00AC2C01" w:rsidRPr="0083390F">
        <w:rPr>
          <w:rFonts w:ascii="Calibri" w:hAnsi="Calibri"/>
          <w:lang w:val="en-GB"/>
        </w:rPr>
        <w:t>certificate</w:t>
      </w:r>
      <w:r w:rsidRPr="00BC74BD">
        <w:rPr>
          <w:rFonts w:ascii="Calibri" w:hAnsi="Calibri"/>
          <w:lang w:val="en-GB"/>
        </w:rPr>
        <w:t xml:space="preserve"> shall be included as </w:t>
      </w:r>
      <w:r w:rsidRPr="00BC74BD">
        <w:rPr>
          <w:rFonts w:ascii="Calibri" w:hAnsi="Calibri"/>
          <w:b/>
          <w:lang w:val="en-GB"/>
        </w:rPr>
        <w:t xml:space="preserve">Appendix </w:t>
      </w:r>
      <w:proofErr w:type="spellStart"/>
      <w:r w:rsidRPr="00BC74BD">
        <w:rPr>
          <w:rFonts w:ascii="Calibri" w:hAnsi="Calibri"/>
          <w:b/>
          <w:lang w:val="en-GB"/>
        </w:rPr>
        <w:t>A</w:t>
      </w:r>
      <w:proofErr w:type="spellEnd"/>
      <w:r w:rsidRPr="00BC74BD">
        <w:rPr>
          <w:rFonts w:ascii="Calibri" w:hAnsi="Calibri"/>
          <w:lang w:val="en-GB"/>
        </w:rPr>
        <w:t xml:space="preserve"> accompanying the Loan Agreement.</w:t>
      </w:r>
    </w:p>
    <w:p w:rsidR="00340BF2" w:rsidRPr="00A17E6E" w:rsidRDefault="00AC2C01" w:rsidP="00340BF2">
      <w:pPr>
        <w:numPr>
          <w:ilvl w:val="0"/>
          <w:numId w:val="14"/>
        </w:numPr>
        <w:spacing w:after="120"/>
        <w:rPr>
          <w:rFonts w:ascii="Calibri" w:hAnsi="Calibri"/>
          <w:lang w:val="en-GB"/>
        </w:rPr>
      </w:pPr>
      <w:r>
        <w:rPr>
          <w:rFonts w:ascii="Calibri" w:hAnsi="Calibri"/>
          <w:lang w:val="en-GB"/>
        </w:rPr>
        <w:t>The i</w:t>
      </w:r>
      <w:r w:rsidR="00340BF2" w:rsidRPr="00BC74BD">
        <w:rPr>
          <w:rFonts w:ascii="Calibri" w:hAnsi="Calibri"/>
          <w:lang w:val="en-GB"/>
        </w:rPr>
        <w:t>nsurance policy must include all-risk and nail-to-nail cover for both transport and exhibition.</w:t>
      </w:r>
    </w:p>
    <w:p w:rsidR="00340BF2" w:rsidRPr="00A17E6E" w:rsidRDefault="00340BF2" w:rsidP="00340BF2">
      <w:pPr>
        <w:numPr>
          <w:ilvl w:val="0"/>
          <w:numId w:val="14"/>
        </w:numPr>
        <w:rPr>
          <w:rFonts w:ascii="Calibri" w:hAnsi="Calibri"/>
          <w:lang w:val="en-GB"/>
        </w:rPr>
      </w:pPr>
      <w:r w:rsidRPr="00BC74BD">
        <w:rPr>
          <w:rFonts w:ascii="Calibri" w:hAnsi="Calibri"/>
          <w:lang w:val="en-GB"/>
        </w:rPr>
        <w:t>The National Museum of Denmark’s insurance clauses (</w:t>
      </w:r>
      <w:r>
        <w:rPr>
          <w:rFonts w:ascii="Calibri" w:hAnsi="Calibri"/>
          <w:lang w:val="en-GB"/>
        </w:rPr>
        <w:t>enclosure 1</w:t>
      </w:r>
      <w:r w:rsidRPr="00BC74BD">
        <w:rPr>
          <w:rFonts w:ascii="Calibri" w:hAnsi="Calibri"/>
          <w:lang w:val="en-GB"/>
        </w:rPr>
        <w:t>) are mandatory. The insurance policy must include the museum clause in accordance with which objects remain the prop</w:t>
      </w:r>
      <w:r>
        <w:rPr>
          <w:rFonts w:ascii="Calibri" w:hAnsi="Calibri"/>
          <w:lang w:val="en-GB"/>
        </w:rPr>
        <w:t>erty of The National Museum of D</w:t>
      </w:r>
      <w:r w:rsidRPr="00BC74BD">
        <w:rPr>
          <w:rFonts w:ascii="Calibri" w:hAnsi="Calibri"/>
          <w:lang w:val="en-GB"/>
        </w:rPr>
        <w:t>enmark, irrespective of the extent of any damage and the amount of indemnity.</w:t>
      </w:r>
    </w:p>
    <w:p w:rsidR="00340BF2" w:rsidRPr="003E00C9" w:rsidRDefault="00340BF2" w:rsidP="00340BF2">
      <w:pPr>
        <w:numPr>
          <w:ilvl w:val="0"/>
          <w:numId w:val="14"/>
        </w:numPr>
        <w:rPr>
          <w:rFonts w:ascii="Calibri" w:hAnsi="Calibri"/>
          <w:lang w:val="en-GB"/>
        </w:rPr>
      </w:pPr>
      <w:r>
        <w:rPr>
          <w:rFonts w:ascii="Calibri" w:hAnsi="Calibri"/>
          <w:spacing w:val="-3"/>
          <w:lang w:val="en-GB"/>
        </w:rPr>
        <w:lastRenderedPageBreak/>
        <w:t xml:space="preserve">The </w:t>
      </w:r>
      <w:r w:rsidR="00AC2C01" w:rsidRPr="0083390F">
        <w:rPr>
          <w:rFonts w:ascii="Calibri" w:hAnsi="Calibri"/>
          <w:spacing w:val="-3"/>
          <w:lang w:val="en-GB"/>
        </w:rPr>
        <w:t>National Museum</w:t>
      </w:r>
      <w:r w:rsidR="00AC2C01">
        <w:rPr>
          <w:rFonts w:ascii="Calibri" w:hAnsi="Calibri"/>
          <w:spacing w:val="-3"/>
          <w:lang w:val="en-GB"/>
        </w:rPr>
        <w:t xml:space="preserve"> </w:t>
      </w:r>
      <w:r w:rsidRPr="00BC74BD">
        <w:rPr>
          <w:rFonts w:ascii="Calibri" w:hAnsi="Calibri"/>
          <w:spacing w:val="-3"/>
          <w:lang w:val="en-GB"/>
        </w:rPr>
        <w:t xml:space="preserve">can, </w:t>
      </w:r>
      <w:r>
        <w:rPr>
          <w:rFonts w:ascii="Calibri" w:hAnsi="Calibri"/>
          <w:spacing w:val="-3"/>
          <w:lang w:val="en-GB"/>
        </w:rPr>
        <w:t xml:space="preserve">if needed, </w:t>
      </w:r>
      <w:r w:rsidRPr="00BC74BD">
        <w:rPr>
          <w:rFonts w:ascii="Calibri" w:hAnsi="Calibri"/>
          <w:spacing w:val="-3"/>
          <w:lang w:val="en-GB"/>
        </w:rPr>
        <w:t>call upon legal advice from The Legal Adviser to the Danish Government. The Borrower shall cover the expense for the legal advice.</w:t>
      </w:r>
    </w:p>
    <w:p w:rsidR="00340BF2" w:rsidRPr="00A17E6E" w:rsidRDefault="00340BF2" w:rsidP="00340BF2">
      <w:pPr>
        <w:ind w:left="624"/>
        <w:rPr>
          <w:rFonts w:ascii="Calibri" w:hAnsi="Calibri"/>
          <w:lang w:val="en-GB"/>
        </w:rPr>
      </w:pPr>
    </w:p>
    <w:p w:rsidR="00340BF2" w:rsidRPr="00A17E6E" w:rsidRDefault="00340BF2" w:rsidP="00340BF2">
      <w:pPr>
        <w:numPr>
          <w:ilvl w:val="0"/>
          <w:numId w:val="20"/>
        </w:numPr>
        <w:tabs>
          <w:tab w:val="clear" w:pos="720"/>
          <w:tab w:val="left" w:pos="360"/>
          <w:tab w:val="num" w:pos="426"/>
        </w:tabs>
        <w:spacing w:after="120"/>
        <w:ind w:left="0" w:firstLine="0"/>
        <w:rPr>
          <w:rFonts w:ascii="Calibri" w:hAnsi="Calibri"/>
          <w:b/>
          <w:lang w:val="en-GB"/>
        </w:rPr>
      </w:pPr>
      <w:r w:rsidRPr="00BC74BD">
        <w:rPr>
          <w:rFonts w:ascii="Calibri" w:hAnsi="Calibri"/>
          <w:b/>
          <w:lang w:val="en-GB"/>
        </w:rPr>
        <w:t xml:space="preserve">Documentation </w:t>
      </w:r>
    </w:p>
    <w:p w:rsidR="00340BF2" w:rsidRDefault="00340BF2" w:rsidP="00FE669B">
      <w:pPr>
        <w:pStyle w:val="Brdtekstindrykning2"/>
        <w:numPr>
          <w:ilvl w:val="0"/>
          <w:numId w:val="21"/>
        </w:numPr>
        <w:spacing w:line="240" w:lineRule="auto"/>
        <w:ind w:hanging="425"/>
        <w:rPr>
          <w:rFonts w:ascii="Calibri" w:hAnsi="Calibri"/>
        </w:rPr>
      </w:pPr>
      <w:r w:rsidRPr="00F9693D">
        <w:rPr>
          <w:rFonts w:ascii="Calibri" w:hAnsi="Calibri"/>
        </w:rPr>
        <w:t xml:space="preserve">Up to date photographs/illustrations, prepared by the National Museum, shall accompany all objects to be loaned. </w:t>
      </w:r>
    </w:p>
    <w:p w:rsidR="00F9693D" w:rsidRPr="00F9693D" w:rsidRDefault="00F9693D" w:rsidP="00F9693D">
      <w:pPr>
        <w:pStyle w:val="Brdtekstindrykning2"/>
        <w:spacing w:line="240" w:lineRule="auto"/>
        <w:ind w:left="643"/>
        <w:rPr>
          <w:rFonts w:ascii="Calibri" w:hAnsi="Calibri"/>
        </w:rPr>
      </w:pPr>
    </w:p>
    <w:p w:rsidR="00340BF2" w:rsidRPr="00A17E6E" w:rsidRDefault="00340BF2" w:rsidP="00340BF2">
      <w:pPr>
        <w:keepNext/>
        <w:tabs>
          <w:tab w:val="left" w:pos="360"/>
        </w:tabs>
        <w:spacing w:after="120"/>
        <w:rPr>
          <w:rFonts w:ascii="Calibri" w:hAnsi="Calibri"/>
          <w:lang w:val="en-GB"/>
        </w:rPr>
      </w:pPr>
      <w:r w:rsidRPr="00BC74BD">
        <w:rPr>
          <w:rFonts w:ascii="Calibri" w:hAnsi="Calibri"/>
          <w:b/>
          <w:lang w:val="en-GB"/>
        </w:rPr>
        <w:t>5.</w:t>
      </w:r>
      <w:r w:rsidRPr="00BC74BD">
        <w:rPr>
          <w:rFonts w:ascii="Calibri" w:hAnsi="Calibri"/>
          <w:b/>
          <w:lang w:val="en-GB"/>
        </w:rPr>
        <w:tab/>
        <w:t>Conservation</w:t>
      </w:r>
    </w:p>
    <w:p w:rsidR="00340BF2" w:rsidRPr="00A17E6E" w:rsidRDefault="00340BF2" w:rsidP="00340BF2">
      <w:pPr>
        <w:numPr>
          <w:ilvl w:val="0"/>
          <w:numId w:val="15"/>
        </w:numPr>
        <w:spacing w:after="120"/>
        <w:rPr>
          <w:rFonts w:ascii="Calibri" w:hAnsi="Calibri"/>
          <w:lang w:val="en-GB"/>
        </w:rPr>
      </w:pPr>
      <w:r w:rsidRPr="00BC74BD">
        <w:rPr>
          <w:rFonts w:ascii="Calibri" w:hAnsi="Calibri"/>
          <w:lang w:val="en-GB"/>
        </w:rPr>
        <w:t>The National Museum only lends objects which are in satisfactory conservation condition.</w:t>
      </w:r>
    </w:p>
    <w:p w:rsidR="00340BF2" w:rsidRPr="00A17E6E" w:rsidRDefault="00340BF2" w:rsidP="00340BF2">
      <w:pPr>
        <w:numPr>
          <w:ilvl w:val="0"/>
          <w:numId w:val="15"/>
        </w:numPr>
        <w:rPr>
          <w:rFonts w:ascii="Calibri" w:hAnsi="Calibri"/>
          <w:lang w:val="en-GB"/>
        </w:rPr>
      </w:pPr>
      <w:r w:rsidRPr="00BC74BD">
        <w:rPr>
          <w:rFonts w:ascii="Calibri" w:hAnsi="Calibri"/>
          <w:lang w:val="en-GB"/>
        </w:rPr>
        <w:t>In the event of any damage to objects The National Museum must be immediately notified</w:t>
      </w:r>
      <w:r w:rsidR="00F9693D">
        <w:rPr>
          <w:rFonts w:ascii="Calibri" w:hAnsi="Calibri"/>
          <w:lang w:val="en-GB"/>
        </w:rPr>
        <w:t>, and always within 24 hours</w:t>
      </w:r>
      <w:r w:rsidRPr="00BC74BD">
        <w:rPr>
          <w:rFonts w:ascii="Calibri" w:hAnsi="Calibri"/>
          <w:lang w:val="en-GB"/>
        </w:rPr>
        <w:t xml:space="preserve">. The Borrower shall not carry out any conservation of the borrowed objects. </w:t>
      </w:r>
    </w:p>
    <w:p w:rsidR="00340BF2" w:rsidRPr="00A17E6E" w:rsidRDefault="00340BF2" w:rsidP="00340BF2">
      <w:pPr>
        <w:ind w:left="284"/>
        <w:rPr>
          <w:rFonts w:ascii="Calibri" w:hAnsi="Calibri"/>
          <w:lang w:val="en-GB"/>
        </w:rPr>
      </w:pP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6.</w:t>
      </w:r>
      <w:r w:rsidRPr="00BC74BD">
        <w:rPr>
          <w:rFonts w:ascii="Calibri" w:hAnsi="Calibri"/>
          <w:b/>
          <w:lang w:val="en-GB"/>
        </w:rPr>
        <w:tab/>
        <w:t>Security</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 xml:space="preserve">The Borrower shall provide a full account of security arrangements at the place of unpacking and exhibition. The National Museum </w:t>
      </w:r>
      <w:r w:rsidR="00F9693D">
        <w:rPr>
          <w:rFonts w:ascii="Calibri" w:hAnsi="Calibri"/>
          <w:lang w:val="en-GB"/>
        </w:rPr>
        <w:t xml:space="preserve">will </w:t>
      </w:r>
      <w:r w:rsidRPr="00BC74BD">
        <w:rPr>
          <w:rFonts w:ascii="Calibri" w:hAnsi="Calibri"/>
          <w:lang w:val="en-GB"/>
        </w:rPr>
        <w:t>request</w:t>
      </w:r>
      <w:r w:rsidR="00F9693D">
        <w:rPr>
          <w:rFonts w:ascii="Calibri" w:hAnsi="Calibri"/>
          <w:lang w:val="en-GB"/>
        </w:rPr>
        <w:t xml:space="preserve"> that</w:t>
      </w:r>
      <w:r w:rsidRPr="00BC74BD">
        <w:rPr>
          <w:rFonts w:ascii="Calibri" w:hAnsi="Calibri"/>
          <w:lang w:val="en-GB"/>
        </w:rPr>
        <w:t xml:space="preserve"> </w:t>
      </w:r>
      <w:r w:rsidR="00F9693D">
        <w:rPr>
          <w:rFonts w:ascii="Calibri" w:hAnsi="Calibri"/>
          <w:lang w:val="en-GB"/>
        </w:rPr>
        <w:t xml:space="preserve">a </w:t>
      </w:r>
      <w:r w:rsidRPr="00BC74BD">
        <w:rPr>
          <w:rFonts w:ascii="Calibri" w:hAnsi="Calibri"/>
          <w:lang w:val="en-GB"/>
        </w:rPr>
        <w:t xml:space="preserve">Facility Report with an overview of exhibition rooms and their security arrangements be submitted by the Borrower.  </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In special circumstances, The National Museum is entitled to instruct its Head of Security to check conditions at the designated unpacking and exhibition site. The Borrower shall cover expenses incurred in connection with such a visit.</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The exhibition venue must be secured in every way and must guard the exhibition around the clock.</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As a general rule, objects borrowed from The National Museum must be displayed in display cases fitted with alarms. In special circumstances permission can be given for open display. In such circumstances, care should be taken where possible to arrange the objects in such a manner that the public cannot touch them. Methods for ensuring this will be agreed for each object.</w:t>
      </w:r>
    </w:p>
    <w:p w:rsidR="00340BF2" w:rsidRPr="00A17E6E" w:rsidRDefault="00340BF2" w:rsidP="00340BF2">
      <w:pPr>
        <w:numPr>
          <w:ilvl w:val="0"/>
          <w:numId w:val="16"/>
        </w:numPr>
        <w:spacing w:after="120"/>
        <w:rPr>
          <w:rFonts w:ascii="Calibri" w:hAnsi="Calibri"/>
          <w:lang w:val="en-GB"/>
        </w:rPr>
      </w:pPr>
      <w:r w:rsidRPr="00BC74BD">
        <w:rPr>
          <w:rFonts w:ascii="Calibri" w:hAnsi="Calibri"/>
          <w:iCs/>
          <w:lang w:val="en-GB"/>
        </w:rPr>
        <w:t>The</w:t>
      </w:r>
      <w:r w:rsidRPr="00BC74BD">
        <w:rPr>
          <w:rFonts w:ascii="Calibri" w:hAnsi="Calibri"/>
          <w:lang w:val="en-GB"/>
        </w:rPr>
        <w:t xml:space="preserve"> construction and safety specifications of display cases shall be approved in advance by The National Museum. It may be a requirement that display cases be sealed. </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Room alarms must be activated outside opening hours.</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lastRenderedPageBreak/>
        <w:t>Room alarm systems and display case detectors must relay their alarm signals to a police station or other authorised security centre.</w:t>
      </w:r>
    </w:p>
    <w:p w:rsidR="00340BF2" w:rsidRPr="00A17E6E" w:rsidRDefault="00340BF2" w:rsidP="00340BF2">
      <w:pPr>
        <w:numPr>
          <w:ilvl w:val="0"/>
          <w:numId w:val="16"/>
        </w:numPr>
        <w:spacing w:after="120"/>
        <w:rPr>
          <w:rFonts w:ascii="Calibri" w:hAnsi="Calibri"/>
          <w:lang w:val="en-GB"/>
        </w:rPr>
      </w:pPr>
      <w:r w:rsidRPr="00BC74BD">
        <w:rPr>
          <w:rFonts w:ascii="Calibri" w:hAnsi="Calibri"/>
          <w:lang w:val="en-GB"/>
        </w:rPr>
        <w:t>In special circumstances, The National Museum can require objects to be monitored by a permanent guard.</w:t>
      </w:r>
    </w:p>
    <w:p w:rsidR="00340BF2" w:rsidRDefault="00340BF2" w:rsidP="00340BF2">
      <w:pPr>
        <w:numPr>
          <w:ilvl w:val="0"/>
          <w:numId w:val="16"/>
        </w:numPr>
        <w:spacing w:after="120"/>
        <w:rPr>
          <w:rFonts w:ascii="Calibri" w:hAnsi="Calibri"/>
          <w:lang w:val="en-GB"/>
        </w:rPr>
      </w:pPr>
      <w:r w:rsidRPr="00BC74BD">
        <w:rPr>
          <w:rFonts w:ascii="Calibri" w:hAnsi="Calibri"/>
          <w:lang w:val="en-GB"/>
        </w:rPr>
        <w:t xml:space="preserve">Representatives of The National Museum shall have access to the exhibition rooms prior to the exhibition opening in order to assess all security measures. National Museum representatives shall also at all times have the necessary access to inspect the exhibition rooms during the exhibition period. </w:t>
      </w:r>
    </w:p>
    <w:p w:rsidR="00340BF2" w:rsidRPr="00A17E6E" w:rsidRDefault="00340BF2" w:rsidP="00340BF2">
      <w:pPr>
        <w:rPr>
          <w:rFonts w:ascii="Calibri" w:hAnsi="Calibri"/>
          <w:b/>
          <w:lang w:val="en-GB"/>
        </w:rPr>
      </w:pP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7.</w:t>
      </w:r>
      <w:r w:rsidRPr="00BC74BD">
        <w:rPr>
          <w:rFonts w:ascii="Calibri" w:hAnsi="Calibri"/>
          <w:b/>
          <w:lang w:val="en-GB"/>
        </w:rPr>
        <w:tab/>
        <w:t>Environmental Specifications</w:t>
      </w:r>
    </w:p>
    <w:p w:rsidR="00340BF2" w:rsidRPr="00A17E6E" w:rsidRDefault="00340BF2" w:rsidP="00340BF2">
      <w:pPr>
        <w:numPr>
          <w:ilvl w:val="0"/>
          <w:numId w:val="17"/>
        </w:numPr>
        <w:spacing w:after="120"/>
        <w:rPr>
          <w:rFonts w:ascii="Calibri" w:hAnsi="Calibri"/>
          <w:lang w:val="en-GB"/>
        </w:rPr>
      </w:pPr>
      <w:r w:rsidRPr="00BC74BD">
        <w:rPr>
          <w:rFonts w:ascii="Calibri" w:hAnsi="Calibri"/>
          <w:lang w:val="en-GB"/>
        </w:rPr>
        <w:t>Temperature, humidity, lighting levels and other physical and chemical conditions within the exhibition venue shall be in accordance with specifications laid down by The National Museum. The National Museum may require that checks be carried out to ascertain whether the environment is in accordance with agreed specifications (graphs of humidity measurements, etc.) and that the results be submitted to The National Museum at regular intervals.</w:t>
      </w:r>
    </w:p>
    <w:p w:rsidR="00340BF2" w:rsidRPr="00A17E6E" w:rsidRDefault="00340BF2" w:rsidP="00340BF2">
      <w:pPr>
        <w:numPr>
          <w:ilvl w:val="0"/>
          <w:numId w:val="17"/>
        </w:numPr>
        <w:spacing w:after="120"/>
        <w:rPr>
          <w:rFonts w:ascii="Calibri" w:hAnsi="Calibri"/>
          <w:lang w:val="en-GB"/>
        </w:rPr>
      </w:pPr>
      <w:r w:rsidRPr="00BC74BD">
        <w:rPr>
          <w:rFonts w:ascii="Calibri" w:hAnsi="Calibri"/>
          <w:lang w:val="en-GB"/>
        </w:rPr>
        <w:t>All materials used for display cases shall be in accordance with the specifications laid down by The National Museum.</w:t>
      </w:r>
    </w:p>
    <w:p w:rsidR="00340BF2" w:rsidRPr="00A17E6E" w:rsidRDefault="00340BF2" w:rsidP="00340BF2">
      <w:pPr>
        <w:numPr>
          <w:ilvl w:val="0"/>
          <w:numId w:val="17"/>
        </w:numPr>
        <w:spacing w:after="120"/>
        <w:rPr>
          <w:rFonts w:ascii="Calibri" w:hAnsi="Calibri"/>
          <w:lang w:val="en-GB"/>
        </w:rPr>
      </w:pPr>
      <w:r w:rsidRPr="00BC74BD">
        <w:rPr>
          <w:rFonts w:ascii="Calibri" w:hAnsi="Calibri"/>
          <w:lang w:val="en-GB"/>
        </w:rPr>
        <w:t>All mounts or supports for objects made by the Borrower shall be in accordance with specifications stipulated by The National Museum. The National Museum can, if necessary, manufacture special mounts and stands, with incurred costs paid by the Borrower</w:t>
      </w:r>
    </w:p>
    <w:p w:rsidR="00340BF2" w:rsidRDefault="00340BF2" w:rsidP="00340BF2">
      <w:pPr>
        <w:numPr>
          <w:ilvl w:val="0"/>
          <w:numId w:val="17"/>
        </w:numPr>
        <w:spacing w:after="120"/>
        <w:rPr>
          <w:rFonts w:ascii="Calibri" w:hAnsi="Calibri"/>
          <w:lang w:val="en-GB"/>
        </w:rPr>
      </w:pPr>
      <w:r w:rsidRPr="00BC74BD">
        <w:rPr>
          <w:rFonts w:ascii="Calibri" w:hAnsi="Calibri"/>
          <w:lang w:val="en-GB"/>
        </w:rPr>
        <w:t>The Borrower shall be liable to ensure that the required environmental conditions are maintained during the entire exhibition.  If these conditions cannot be maintained, the Borrower must immediately notify The National Museum.</w:t>
      </w:r>
    </w:p>
    <w:p w:rsidR="00C459CF" w:rsidRPr="00C459CF" w:rsidRDefault="00C459CF" w:rsidP="00C459CF">
      <w:pPr>
        <w:pStyle w:val="Listeafsnit"/>
        <w:numPr>
          <w:ilvl w:val="0"/>
          <w:numId w:val="17"/>
        </w:numPr>
        <w:rPr>
          <w:rFonts w:asciiTheme="minorHAnsi" w:hAnsiTheme="minorHAnsi" w:cstheme="minorHAnsi"/>
          <w:sz w:val="22"/>
          <w:szCs w:val="22"/>
        </w:rPr>
      </w:pPr>
      <w:r w:rsidRPr="00C459CF">
        <w:rPr>
          <w:rFonts w:asciiTheme="minorHAnsi" w:hAnsiTheme="minorHAnsi" w:cstheme="minorHAnsi"/>
        </w:rPr>
        <w:t>Food and drink shall not be served or consumed in any rooms where the National Museum's objects are located.</w:t>
      </w:r>
    </w:p>
    <w:p w:rsidR="00C459CF" w:rsidRPr="00A17E6E" w:rsidRDefault="00C459CF" w:rsidP="00C459CF">
      <w:pPr>
        <w:spacing w:after="120"/>
        <w:ind w:left="624"/>
        <w:rPr>
          <w:rFonts w:ascii="Calibri" w:hAnsi="Calibri"/>
          <w:lang w:val="en-GB"/>
        </w:rPr>
      </w:pPr>
    </w:p>
    <w:p w:rsidR="00340BF2" w:rsidRPr="00A17E6E" w:rsidRDefault="00340BF2" w:rsidP="00340BF2">
      <w:pPr>
        <w:rPr>
          <w:rFonts w:ascii="Calibri" w:hAnsi="Calibri"/>
          <w:lang w:val="en-GB"/>
        </w:rPr>
      </w:pPr>
    </w:p>
    <w:p w:rsidR="00340BF2" w:rsidRPr="00A17E6E" w:rsidRDefault="00340BF2" w:rsidP="00340BF2">
      <w:pPr>
        <w:tabs>
          <w:tab w:val="left" w:pos="360"/>
        </w:tabs>
        <w:spacing w:after="120"/>
        <w:rPr>
          <w:rFonts w:ascii="Calibri" w:hAnsi="Calibri"/>
          <w:b/>
          <w:lang w:val="en-GB"/>
        </w:rPr>
      </w:pPr>
      <w:r w:rsidRPr="00BC74BD">
        <w:rPr>
          <w:rFonts w:ascii="Calibri" w:hAnsi="Calibri"/>
          <w:b/>
          <w:lang w:val="en-GB"/>
        </w:rPr>
        <w:t>8.  Transport, Courier and Condition Report</w:t>
      </w:r>
    </w:p>
    <w:p w:rsidR="00340BF2" w:rsidRPr="00F9693D" w:rsidRDefault="00340BF2" w:rsidP="00340BF2">
      <w:pPr>
        <w:pStyle w:val="Sidehoved"/>
        <w:numPr>
          <w:ilvl w:val="0"/>
          <w:numId w:val="18"/>
        </w:numPr>
        <w:tabs>
          <w:tab w:val="clear" w:pos="0"/>
          <w:tab w:val="clear" w:pos="3686"/>
          <w:tab w:val="clear" w:pos="7371"/>
          <w:tab w:val="left" w:pos="360"/>
        </w:tabs>
        <w:spacing w:after="120"/>
        <w:rPr>
          <w:rFonts w:ascii="Calibri" w:hAnsi="Calibri"/>
          <w:sz w:val="24"/>
          <w:lang w:val="en-GB"/>
        </w:rPr>
      </w:pPr>
      <w:r w:rsidRPr="00F9693D">
        <w:rPr>
          <w:rFonts w:ascii="Calibri" w:hAnsi="Calibri"/>
          <w:sz w:val="24"/>
          <w:lang w:val="en-GB"/>
        </w:rPr>
        <w:t>Transport of loans must be in accordance with the National Museum’s requirements.</w:t>
      </w:r>
    </w:p>
    <w:p w:rsidR="00340BF2" w:rsidRPr="00F9693D" w:rsidRDefault="00340BF2" w:rsidP="00340BF2">
      <w:pPr>
        <w:numPr>
          <w:ilvl w:val="0"/>
          <w:numId w:val="18"/>
        </w:numPr>
        <w:tabs>
          <w:tab w:val="left" w:pos="0"/>
          <w:tab w:val="left" w:pos="360"/>
        </w:tabs>
        <w:spacing w:after="120"/>
        <w:rPr>
          <w:rFonts w:ascii="Calibri" w:hAnsi="Calibri"/>
          <w:lang w:val="en-GB"/>
        </w:rPr>
      </w:pPr>
      <w:r w:rsidRPr="00F9693D">
        <w:rPr>
          <w:rFonts w:ascii="Calibri" w:hAnsi="Calibri"/>
          <w:lang w:val="en-GB"/>
        </w:rPr>
        <w:t xml:space="preserve">The shipping agent must be approved by the National Museum prior to transport. The National Museum shall be provided with mobile telephone </w:t>
      </w:r>
      <w:r w:rsidRPr="00F9693D">
        <w:rPr>
          <w:rFonts w:ascii="Calibri" w:hAnsi="Calibri"/>
          <w:lang w:val="en-GB"/>
        </w:rPr>
        <w:lastRenderedPageBreak/>
        <w:t>numbers and office landline numbers for all shipping agents involved in transport of the objects.</w:t>
      </w:r>
    </w:p>
    <w:p w:rsidR="00340BF2" w:rsidRPr="00A17E6E" w:rsidRDefault="00340BF2" w:rsidP="00340BF2">
      <w:pPr>
        <w:numPr>
          <w:ilvl w:val="0"/>
          <w:numId w:val="18"/>
        </w:numPr>
        <w:tabs>
          <w:tab w:val="left" w:pos="0"/>
          <w:tab w:val="left" w:pos="360"/>
        </w:tabs>
        <w:spacing w:after="120"/>
        <w:rPr>
          <w:rFonts w:ascii="Calibri" w:hAnsi="Calibri"/>
          <w:lang w:val="en-GB"/>
        </w:rPr>
      </w:pPr>
      <w:r w:rsidRPr="00BC74BD">
        <w:rPr>
          <w:rFonts w:ascii="Calibri" w:hAnsi="Calibri"/>
          <w:lang w:val="en-GB"/>
        </w:rPr>
        <w:t>Loaned objects must be escorted at all times by one or more employees of The National Museum or persons authorised by The National Museum. In the case of large or special loans The National Museum may require that more than one courier accompany the shipment.</w:t>
      </w:r>
    </w:p>
    <w:p w:rsidR="00340BF2" w:rsidRPr="00A17E6E" w:rsidRDefault="00F9693D" w:rsidP="00340BF2">
      <w:pPr>
        <w:numPr>
          <w:ilvl w:val="0"/>
          <w:numId w:val="18"/>
        </w:numPr>
        <w:tabs>
          <w:tab w:val="left" w:pos="0"/>
          <w:tab w:val="left" w:pos="360"/>
        </w:tabs>
        <w:spacing w:after="120"/>
        <w:rPr>
          <w:rFonts w:ascii="Calibri" w:hAnsi="Calibri"/>
          <w:lang w:val="en-GB"/>
        </w:rPr>
      </w:pPr>
      <w:r>
        <w:rPr>
          <w:rFonts w:ascii="Calibri" w:hAnsi="Calibri"/>
          <w:lang w:val="en-GB"/>
        </w:rPr>
        <w:t xml:space="preserve"> </w:t>
      </w:r>
      <w:r w:rsidR="00340BF2" w:rsidRPr="00BC74BD">
        <w:rPr>
          <w:rFonts w:ascii="Calibri" w:hAnsi="Calibri"/>
          <w:lang w:val="en-GB"/>
        </w:rPr>
        <w:t>In the event of shipment by air, all loaned objects and The National Museum’s representatives shall be met personally by a representative of the Borrower when entering the host country and shall similarly be personally escorted to the point of departure.</w:t>
      </w:r>
    </w:p>
    <w:p w:rsidR="00F9693D" w:rsidRDefault="00F9693D" w:rsidP="00E454C2">
      <w:pPr>
        <w:numPr>
          <w:ilvl w:val="0"/>
          <w:numId w:val="18"/>
        </w:numPr>
        <w:tabs>
          <w:tab w:val="left" w:pos="0"/>
          <w:tab w:val="left" w:pos="360"/>
        </w:tabs>
        <w:autoSpaceDE w:val="0"/>
        <w:autoSpaceDN w:val="0"/>
        <w:spacing w:after="120"/>
        <w:rPr>
          <w:rFonts w:ascii="Calibri" w:hAnsi="Calibri"/>
          <w:lang w:val="en-GB"/>
        </w:rPr>
      </w:pPr>
      <w:r>
        <w:rPr>
          <w:rFonts w:ascii="Calibri" w:hAnsi="Calibri"/>
          <w:lang w:val="en-GB"/>
        </w:rPr>
        <w:t xml:space="preserve"> </w:t>
      </w:r>
      <w:r w:rsidR="00340BF2" w:rsidRPr="00F9693D">
        <w:rPr>
          <w:rFonts w:ascii="Calibri" w:hAnsi="Calibri"/>
          <w:lang w:val="en-GB"/>
        </w:rPr>
        <w:t>Any unpacking of the objects in connection with security checks and customs clearance shall take place only under surveillance of the courier</w:t>
      </w:r>
      <w:r w:rsidRPr="00F9693D">
        <w:rPr>
          <w:rFonts w:ascii="Calibri" w:hAnsi="Calibri"/>
          <w:lang w:val="en-GB"/>
        </w:rPr>
        <w:t>.</w:t>
      </w:r>
    </w:p>
    <w:p w:rsidR="00340BF2" w:rsidRPr="00F9693D" w:rsidRDefault="00340BF2" w:rsidP="00E454C2">
      <w:pPr>
        <w:numPr>
          <w:ilvl w:val="0"/>
          <w:numId w:val="18"/>
        </w:numPr>
        <w:tabs>
          <w:tab w:val="left" w:pos="0"/>
          <w:tab w:val="left" w:pos="360"/>
        </w:tabs>
        <w:autoSpaceDE w:val="0"/>
        <w:autoSpaceDN w:val="0"/>
        <w:spacing w:after="120"/>
        <w:rPr>
          <w:rFonts w:ascii="Calibri" w:hAnsi="Calibri"/>
          <w:lang w:val="en-GB"/>
        </w:rPr>
      </w:pPr>
      <w:r w:rsidRPr="00F9693D">
        <w:rPr>
          <w:rFonts w:ascii="Calibri" w:hAnsi="Calibri"/>
          <w:lang w:val="en-GB"/>
        </w:rPr>
        <w:t xml:space="preserve">The </w:t>
      </w:r>
      <w:r w:rsidR="008773F5">
        <w:rPr>
          <w:rFonts w:ascii="Calibri" w:hAnsi="Calibri"/>
          <w:lang w:val="en-GB"/>
        </w:rPr>
        <w:t>Transport Agency</w:t>
      </w:r>
      <w:r w:rsidRPr="00F9693D">
        <w:rPr>
          <w:rFonts w:ascii="Calibri" w:hAnsi="Calibri"/>
          <w:lang w:val="en-GB"/>
        </w:rPr>
        <w:t xml:space="preserve"> shall be certificated as “known consignor” (EU regulation for screening).</w:t>
      </w:r>
    </w:p>
    <w:p w:rsidR="00340BF2" w:rsidRPr="00A17E6E" w:rsidRDefault="00340BF2" w:rsidP="00340BF2">
      <w:pPr>
        <w:numPr>
          <w:ilvl w:val="0"/>
          <w:numId w:val="18"/>
        </w:numPr>
        <w:tabs>
          <w:tab w:val="left" w:pos="0"/>
          <w:tab w:val="left" w:pos="360"/>
        </w:tabs>
        <w:spacing w:after="120"/>
        <w:rPr>
          <w:rFonts w:ascii="Calibri" w:hAnsi="Calibri"/>
          <w:lang w:val="en-GB"/>
        </w:rPr>
      </w:pPr>
      <w:r w:rsidRPr="00BC74BD">
        <w:rPr>
          <w:rFonts w:ascii="Calibri" w:hAnsi="Calibri"/>
          <w:lang w:val="en-GB"/>
        </w:rPr>
        <w:t xml:space="preserve">The loaned objects shall be unpacked and displayed only at the exhibition venue. Unpacking, mounting, handling, packing, etc., must be carried out by The National Museum’s representative or under </w:t>
      </w:r>
      <w:r w:rsidR="004515B1">
        <w:rPr>
          <w:rFonts w:ascii="Calibri" w:hAnsi="Calibri"/>
          <w:lang w:val="en-GB"/>
        </w:rPr>
        <w:t>her or hi</w:t>
      </w:r>
      <w:r w:rsidR="0083390F">
        <w:rPr>
          <w:rFonts w:ascii="Calibri" w:hAnsi="Calibri"/>
          <w:lang w:val="en-GB"/>
        </w:rPr>
        <w:t>s</w:t>
      </w:r>
      <w:r w:rsidRPr="00BC74BD">
        <w:rPr>
          <w:rFonts w:ascii="Calibri" w:hAnsi="Calibri"/>
          <w:lang w:val="en-GB"/>
        </w:rPr>
        <w:t xml:space="preserve"> instructions. </w:t>
      </w:r>
    </w:p>
    <w:p w:rsidR="00340BF2" w:rsidRPr="00A17E6E" w:rsidRDefault="00340BF2" w:rsidP="00340BF2">
      <w:pPr>
        <w:numPr>
          <w:ilvl w:val="0"/>
          <w:numId w:val="18"/>
        </w:numPr>
        <w:tabs>
          <w:tab w:val="left" w:pos="0"/>
          <w:tab w:val="left" w:pos="360"/>
        </w:tabs>
        <w:spacing w:after="120"/>
        <w:rPr>
          <w:rFonts w:ascii="Calibri" w:hAnsi="Calibri"/>
          <w:lang w:val="en-GB"/>
        </w:rPr>
      </w:pPr>
      <w:r w:rsidRPr="00BC74BD">
        <w:rPr>
          <w:rFonts w:ascii="Calibri" w:hAnsi="Calibri"/>
          <w:lang w:val="en-GB"/>
        </w:rPr>
        <w:t xml:space="preserve">The condition of all objects shall be inspected at the exhibition venue by the courier together with a representative of the Borrower at the time of unpacking and again at the time of packing. Both parties shall record relevant notes and sign for the objects at each unpacking/packing of these. In the event of a travelling exhibition this inspection must be carried out at each exhibition venue. </w:t>
      </w:r>
    </w:p>
    <w:p w:rsidR="00340BF2" w:rsidRPr="00A17E6E" w:rsidRDefault="00340BF2" w:rsidP="00340BF2">
      <w:pPr>
        <w:numPr>
          <w:ilvl w:val="0"/>
          <w:numId w:val="18"/>
        </w:numPr>
        <w:tabs>
          <w:tab w:val="left" w:pos="0"/>
          <w:tab w:val="left" w:pos="360"/>
        </w:tabs>
        <w:spacing w:after="120"/>
        <w:rPr>
          <w:rFonts w:ascii="Calibri" w:hAnsi="Calibri"/>
          <w:lang w:val="en-GB"/>
        </w:rPr>
      </w:pPr>
      <w:r w:rsidRPr="00BC74BD">
        <w:rPr>
          <w:rFonts w:ascii="Calibri" w:hAnsi="Calibri"/>
          <w:lang w:val="en-GB"/>
        </w:rPr>
        <w:t>After installing The National Museum’s objects at the exhibition venue the display cases shall be locked/sealed in the presence of The National Museum’s representative, and can be opened again only in the presence of a representative of The National Museum</w:t>
      </w:r>
      <w:r w:rsidR="00F9693D">
        <w:rPr>
          <w:rFonts w:ascii="Calibri" w:hAnsi="Calibri"/>
          <w:lang w:val="en-GB"/>
        </w:rPr>
        <w:t xml:space="preserve"> or in written agreement with The National Museum</w:t>
      </w:r>
      <w:r w:rsidRPr="00BC74BD">
        <w:rPr>
          <w:rFonts w:ascii="Calibri" w:hAnsi="Calibri"/>
          <w:lang w:val="en-GB"/>
        </w:rPr>
        <w:t>.</w:t>
      </w:r>
    </w:p>
    <w:p w:rsidR="00340BF2" w:rsidRPr="00A17E6E" w:rsidRDefault="00340BF2" w:rsidP="00340BF2">
      <w:pPr>
        <w:numPr>
          <w:ilvl w:val="0"/>
          <w:numId w:val="18"/>
        </w:numPr>
        <w:tabs>
          <w:tab w:val="left" w:pos="0"/>
          <w:tab w:val="left" w:pos="360"/>
        </w:tabs>
        <w:spacing w:after="120"/>
        <w:rPr>
          <w:rFonts w:ascii="Calibri" w:hAnsi="Calibri"/>
          <w:lang w:val="en-GB"/>
        </w:rPr>
      </w:pPr>
      <w:r w:rsidRPr="00BC74BD">
        <w:rPr>
          <w:rFonts w:ascii="Calibri" w:hAnsi="Calibri"/>
          <w:lang w:val="en-GB"/>
        </w:rPr>
        <w:t xml:space="preserve">The National Museum reserves the right to remain at the exhibition venue until after the opening of the exhibition in order to monitor security and environmental conditions. </w:t>
      </w:r>
    </w:p>
    <w:p w:rsidR="00340BF2" w:rsidRPr="00A17E6E" w:rsidRDefault="00340BF2" w:rsidP="00340BF2">
      <w:pPr>
        <w:numPr>
          <w:ilvl w:val="0"/>
          <w:numId w:val="18"/>
        </w:numPr>
        <w:tabs>
          <w:tab w:val="left" w:pos="0"/>
          <w:tab w:val="left" w:pos="360"/>
        </w:tabs>
        <w:rPr>
          <w:rFonts w:ascii="Calibri" w:hAnsi="Calibri"/>
          <w:lang w:val="en-GB"/>
        </w:rPr>
      </w:pPr>
      <w:r w:rsidRPr="00BC74BD">
        <w:rPr>
          <w:rFonts w:ascii="Calibri" w:hAnsi="Calibri"/>
          <w:lang w:val="en-GB"/>
        </w:rPr>
        <w:t>No object shall be handled or removed from its display case by any person other than The National Museum’s representative</w:t>
      </w:r>
      <w:r w:rsidR="00F9693D">
        <w:rPr>
          <w:rFonts w:ascii="Calibri" w:hAnsi="Calibri"/>
          <w:lang w:val="en-GB"/>
        </w:rPr>
        <w:t xml:space="preserve"> or in written agreement with The National Museum</w:t>
      </w:r>
      <w:r w:rsidRPr="00BC74BD">
        <w:rPr>
          <w:rFonts w:ascii="Calibri" w:hAnsi="Calibri"/>
          <w:lang w:val="en-GB"/>
        </w:rPr>
        <w:t xml:space="preserve"> unless this is done in an extreme emergency situation in order to protect the objects. In such an event The National Museum must be notified – immediately – of the removal of the objects and the reason for this.</w:t>
      </w:r>
    </w:p>
    <w:p w:rsidR="00340BF2" w:rsidRPr="00A17E6E" w:rsidRDefault="00340BF2" w:rsidP="00340BF2">
      <w:pPr>
        <w:pStyle w:val="Sidehoved"/>
        <w:tabs>
          <w:tab w:val="left" w:pos="360"/>
        </w:tabs>
        <w:ind w:left="720"/>
        <w:rPr>
          <w:rFonts w:ascii="Calibri" w:hAnsi="Calibri"/>
          <w:lang w:val="en-GB"/>
        </w:rPr>
      </w:pPr>
    </w:p>
    <w:p w:rsidR="00F9693D" w:rsidRDefault="00F9693D" w:rsidP="00340BF2">
      <w:pPr>
        <w:tabs>
          <w:tab w:val="left" w:pos="360"/>
        </w:tabs>
        <w:spacing w:after="120"/>
        <w:rPr>
          <w:rFonts w:ascii="Calibri" w:hAnsi="Calibri"/>
          <w:b/>
          <w:lang w:val="en-GB"/>
        </w:rPr>
      </w:pPr>
    </w:p>
    <w:p w:rsidR="00F9693D" w:rsidRDefault="00F9693D" w:rsidP="00340BF2">
      <w:pPr>
        <w:tabs>
          <w:tab w:val="left" w:pos="360"/>
        </w:tabs>
        <w:spacing w:after="120"/>
        <w:rPr>
          <w:rFonts w:ascii="Calibri" w:hAnsi="Calibri"/>
          <w:b/>
          <w:lang w:val="en-GB"/>
        </w:rPr>
      </w:pPr>
    </w:p>
    <w:p w:rsidR="00EE4A99" w:rsidRDefault="00EE4A99" w:rsidP="00340BF2">
      <w:pPr>
        <w:tabs>
          <w:tab w:val="left" w:pos="360"/>
        </w:tabs>
        <w:spacing w:after="120"/>
        <w:rPr>
          <w:rFonts w:ascii="Calibri" w:hAnsi="Calibri"/>
          <w:b/>
          <w:lang w:val="en-GB"/>
        </w:rPr>
      </w:pPr>
    </w:p>
    <w:p w:rsidR="00EE4A99" w:rsidRDefault="00EE4A99" w:rsidP="00340BF2">
      <w:pPr>
        <w:tabs>
          <w:tab w:val="left" w:pos="360"/>
        </w:tabs>
        <w:spacing w:after="120"/>
        <w:rPr>
          <w:rFonts w:ascii="Calibri" w:hAnsi="Calibri"/>
          <w:b/>
          <w:lang w:val="en-GB"/>
        </w:rPr>
      </w:pP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9. Financial Terms</w:t>
      </w:r>
    </w:p>
    <w:p w:rsidR="00340BF2" w:rsidRPr="00A17E6E" w:rsidRDefault="00340BF2" w:rsidP="00340BF2">
      <w:pPr>
        <w:rPr>
          <w:rFonts w:ascii="Calibri" w:hAnsi="Calibri"/>
          <w:lang w:val="en-GB"/>
        </w:rPr>
      </w:pPr>
      <w:r w:rsidRPr="00BC74BD">
        <w:rPr>
          <w:rFonts w:ascii="Calibri" w:hAnsi="Calibri"/>
          <w:lang w:val="en-GB"/>
        </w:rPr>
        <w:t>The Borrower must meet all costs incurred in connection with the loans from The National Museum unless otherwise agreed. These include:</w:t>
      </w:r>
    </w:p>
    <w:p w:rsidR="00340BF2" w:rsidRPr="00A17E6E" w:rsidRDefault="00340BF2" w:rsidP="00340BF2">
      <w:pPr>
        <w:pStyle w:val="Sidehoved"/>
        <w:rPr>
          <w:rFonts w:ascii="Calibri" w:hAnsi="Calibri"/>
          <w:lang w:val="en-GB"/>
        </w:rPr>
      </w:pPr>
    </w:p>
    <w:p w:rsidR="00340BF2" w:rsidRPr="00A17E6E" w:rsidRDefault="00340BF2" w:rsidP="00340BF2">
      <w:pPr>
        <w:rPr>
          <w:rFonts w:ascii="Calibri" w:hAnsi="Calibri"/>
          <w:b/>
          <w:i/>
          <w:lang w:val="en-GB"/>
        </w:rPr>
      </w:pPr>
      <w:r w:rsidRPr="00BC74BD">
        <w:rPr>
          <w:rFonts w:ascii="Calibri" w:hAnsi="Calibri"/>
          <w:b/>
          <w:i/>
          <w:lang w:val="en-GB"/>
        </w:rPr>
        <w:t>Insurance</w:t>
      </w:r>
    </w:p>
    <w:p w:rsidR="00340BF2" w:rsidRDefault="00340BF2" w:rsidP="00340BF2">
      <w:pPr>
        <w:rPr>
          <w:rFonts w:ascii="Calibri" w:hAnsi="Calibri"/>
          <w:lang w:val="en-GB"/>
        </w:rPr>
      </w:pPr>
      <w:r w:rsidRPr="00BC74BD">
        <w:rPr>
          <w:rFonts w:ascii="Calibri" w:hAnsi="Calibri"/>
          <w:lang w:val="en-GB"/>
        </w:rPr>
        <w:t>The Borrower shall arrange and cover the insurance premium. The insurance certificate must be approved by the National Museum and a copy submitted to The National Museum</w:t>
      </w:r>
      <w:r w:rsidR="00AC2C01">
        <w:rPr>
          <w:rFonts w:ascii="Calibri" w:hAnsi="Calibri"/>
          <w:lang w:val="en-GB"/>
        </w:rPr>
        <w:t xml:space="preserve">. </w:t>
      </w:r>
    </w:p>
    <w:p w:rsidR="00856B3E" w:rsidRDefault="00856B3E" w:rsidP="00340BF2">
      <w:pPr>
        <w:rPr>
          <w:rFonts w:ascii="Calibri" w:hAnsi="Calibri"/>
          <w:lang w:val="en-GB"/>
        </w:rPr>
      </w:pPr>
    </w:p>
    <w:p w:rsidR="00340BF2" w:rsidRPr="00A17E6E" w:rsidRDefault="00340BF2" w:rsidP="00340BF2">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b/>
          <w:i/>
          <w:lang w:val="en-GB"/>
        </w:rPr>
      </w:pPr>
      <w:r w:rsidRPr="00BC74BD">
        <w:rPr>
          <w:rFonts w:ascii="Calibri" w:hAnsi="Calibri"/>
          <w:b/>
          <w:i/>
          <w:lang w:val="en-GB"/>
        </w:rPr>
        <w:t xml:space="preserve">Documentation </w:t>
      </w:r>
    </w:p>
    <w:p w:rsidR="00340BF2" w:rsidRPr="00A17E6E" w:rsidRDefault="00340BF2" w:rsidP="00340BF2">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lang w:val="en-GB"/>
        </w:rPr>
      </w:pPr>
      <w:r w:rsidRPr="00BC74BD">
        <w:rPr>
          <w:rFonts w:ascii="Calibri" w:hAnsi="Calibri"/>
          <w:lang w:val="en-GB"/>
        </w:rPr>
        <w:t xml:space="preserve">The Borrower shall be liable for all costs relating to documentation of the loaned objects, including photography. </w:t>
      </w:r>
    </w:p>
    <w:p w:rsidR="00340BF2" w:rsidRPr="00A17E6E" w:rsidRDefault="00340BF2" w:rsidP="00340BF2">
      <w:pPr>
        <w:rPr>
          <w:rFonts w:ascii="Calibri" w:hAnsi="Calibri"/>
          <w:lang w:val="en-GB"/>
        </w:rPr>
      </w:pPr>
      <w:r w:rsidRPr="00BC74BD">
        <w:rPr>
          <w:rFonts w:ascii="Calibri" w:hAnsi="Calibri"/>
          <w:lang w:val="en-GB"/>
        </w:rPr>
        <w:t>The National Museum shall inform the Borrower as soon as possible of the expenses that may be incurred in connection with documentation.</w:t>
      </w:r>
    </w:p>
    <w:p w:rsidR="00340BF2" w:rsidRPr="00A17E6E" w:rsidRDefault="00340BF2" w:rsidP="00340BF2">
      <w:pPr>
        <w:rPr>
          <w:rFonts w:ascii="Calibri" w:hAnsi="Calibri"/>
          <w:lang w:val="en-GB"/>
        </w:rPr>
      </w:pPr>
    </w:p>
    <w:p w:rsidR="00340BF2" w:rsidRPr="00A17E6E" w:rsidRDefault="00340BF2" w:rsidP="00340BF2">
      <w:pPr>
        <w:rPr>
          <w:rFonts w:ascii="Calibri" w:hAnsi="Calibri"/>
          <w:b/>
          <w:i/>
          <w:lang w:val="en-GB"/>
        </w:rPr>
      </w:pPr>
      <w:r w:rsidRPr="00BC74BD">
        <w:rPr>
          <w:rFonts w:ascii="Calibri" w:hAnsi="Calibri"/>
          <w:b/>
          <w:i/>
          <w:lang w:val="en-GB"/>
        </w:rPr>
        <w:t>Conservation</w:t>
      </w:r>
    </w:p>
    <w:p w:rsidR="00340BF2" w:rsidRPr="00A17E6E" w:rsidRDefault="00340BF2" w:rsidP="00340BF2">
      <w:pPr>
        <w:rPr>
          <w:rFonts w:ascii="Calibri" w:hAnsi="Calibri"/>
          <w:spacing w:val="-3"/>
          <w:lang w:val="en-GB"/>
        </w:rPr>
      </w:pPr>
      <w:r w:rsidRPr="00BC74BD">
        <w:rPr>
          <w:rFonts w:ascii="Calibri" w:hAnsi="Calibri"/>
          <w:lang w:val="en-GB"/>
        </w:rPr>
        <w:t>The cost of any conservation and manufacture of special mounts or stands shall be paid for by the Borrower.</w:t>
      </w:r>
    </w:p>
    <w:p w:rsidR="00340BF2" w:rsidRPr="00A17E6E" w:rsidRDefault="00340BF2" w:rsidP="00340BF2">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spacing w:val="-3"/>
          <w:lang w:val="en-GB"/>
        </w:rPr>
      </w:pPr>
      <w:r w:rsidRPr="00BC74BD">
        <w:rPr>
          <w:rFonts w:ascii="Calibri" w:hAnsi="Calibri"/>
          <w:spacing w:val="-3"/>
          <w:lang w:val="en-GB"/>
        </w:rPr>
        <w:t xml:space="preserve">The National Museum shall inform the Borrower as soon as possible of the expenses incurred in connection with conservation. </w:t>
      </w:r>
      <w:r w:rsidRPr="00BC74BD">
        <w:rPr>
          <w:rFonts w:ascii="Calibri" w:hAnsi="Calibri"/>
          <w:lang w:val="en-GB"/>
        </w:rPr>
        <w:t>(Surveys and official valuations are carried out by The National Museum in its official capacity.)</w:t>
      </w:r>
    </w:p>
    <w:p w:rsidR="00340BF2" w:rsidRPr="00F9693D" w:rsidRDefault="00340BF2" w:rsidP="00340BF2">
      <w:pPr>
        <w:pStyle w:val="Overskrift6"/>
        <w:rPr>
          <w:rFonts w:ascii="Calibri" w:hAnsi="Calibri"/>
          <w:i/>
          <w:sz w:val="24"/>
          <w:szCs w:val="24"/>
        </w:rPr>
      </w:pPr>
      <w:r w:rsidRPr="00F9693D">
        <w:rPr>
          <w:rFonts w:ascii="Calibri" w:hAnsi="Calibri"/>
          <w:i/>
          <w:sz w:val="24"/>
          <w:szCs w:val="24"/>
        </w:rPr>
        <w:t>Security inspection</w:t>
      </w:r>
    </w:p>
    <w:p w:rsidR="00340BF2" w:rsidRPr="00F9693D" w:rsidRDefault="00340BF2" w:rsidP="00340BF2">
      <w:pPr>
        <w:rPr>
          <w:rFonts w:ascii="Calibri" w:hAnsi="Calibri"/>
          <w:lang w:val="en-GB"/>
        </w:rPr>
      </w:pPr>
      <w:r w:rsidRPr="00F9693D">
        <w:rPr>
          <w:rFonts w:ascii="Calibri" w:hAnsi="Calibri"/>
          <w:lang w:val="en-GB"/>
        </w:rPr>
        <w:t>Travel and hotel expenses, etc., incurred in connection with the inspection of the exhibition venue by a representative of The National Museum shall be paid by the Borrower.</w:t>
      </w:r>
    </w:p>
    <w:p w:rsidR="00340BF2" w:rsidRPr="00A17E6E" w:rsidRDefault="00340BF2" w:rsidP="00340BF2">
      <w:pPr>
        <w:rPr>
          <w:rFonts w:ascii="Calibri" w:hAnsi="Calibri"/>
          <w:lang w:val="en-GB"/>
        </w:rPr>
      </w:pPr>
    </w:p>
    <w:p w:rsidR="00340BF2" w:rsidRPr="00A17E6E" w:rsidRDefault="00340BF2" w:rsidP="00340BF2">
      <w:pPr>
        <w:rPr>
          <w:rFonts w:ascii="Calibri" w:hAnsi="Calibri"/>
          <w:b/>
          <w:i/>
          <w:lang w:val="en-GB"/>
        </w:rPr>
      </w:pPr>
      <w:r w:rsidRPr="00BC74BD">
        <w:rPr>
          <w:rFonts w:ascii="Calibri" w:hAnsi="Calibri"/>
          <w:b/>
          <w:i/>
          <w:lang w:val="en-GB"/>
        </w:rPr>
        <w:t>Transportation,</w:t>
      </w:r>
      <w:r>
        <w:rPr>
          <w:rFonts w:ascii="Calibri" w:hAnsi="Calibri"/>
          <w:b/>
          <w:i/>
          <w:lang w:val="en-GB"/>
        </w:rPr>
        <w:t xml:space="preserve"> </w:t>
      </w:r>
      <w:r w:rsidRPr="00BC74BD">
        <w:rPr>
          <w:rFonts w:ascii="Calibri" w:hAnsi="Calibri"/>
          <w:b/>
          <w:i/>
          <w:lang w:val="en-GB"/>
        </w:rPr>
        <w:t>handling of objects etc.</w:t>
      </w:r>
    </w:p>
    <w:p w:rsidR="00340BF2" w:rsidRPr="00A17E6E" w:rsidRDefault="00340BF2" w:rsidP="00340BF2">
      <w:pPr>
        <w:rPr>
          <w:rFonts w:ascii="Calibri" w:hAnsi="Calibri"/>
          <w:lang w:val="en-GB"/>
        </w:rPr>
      </w:pPr>
      <w:r w:rsidRPr="00BC74BD">
        <w:rPr>
          <w:rFonts w:ascii="Calibri" w:hAnsi="Calibri"/>
          <w:lang w:val="en-GB"/>
        </w:rPr>
        <w:t>The Borrower shall pay all expenses in connection with packing objects, e.g. packing materials, transport and shipping costs from The National Museum to the exhibition venue and back to The National Museum.</w:t>
      </w:r>
    </w:p>
    <w:p w:rsidR="00340BF2" w:rsidRPr="00A17E6E" w:rsidRDefault="00340BF2" w:rsidP="00340BF2">
      <w:pPr>
        <w:rPr>
          <w:rFonts w:ascii="Calibri" w:hAnsi="Calibri"/>
          <w:lang w:val="en-GB"/>
        </w:rPr>
      </w:pPr>
    </w:p>
    <w:p w:rsidR="00340BF2" w:rsidRPr="00A17E6E" w:rsidRDefault="00340BF2" w:rsidP="00340BF2">
      <w:pPr>
        <w:rPr>
          <w:rFonts w:ascii="Calibri" w:hAnsi="Calibri"/>
          <w:lang w:val="en-GB"/>
        </w:rPr>
      </w:pPr>
      <w:r w:rsidRPr="00BC74BD">
        <w:rPr>
          <w:rFonts w:ascii="Calibri" w:hAnsi="Calibri"/>
          <w:lang w:val="en-GB"/>
        </w:rPr>
        <w:t>The allocation of courier costs shall be stipulated in the Loan Agreement. As a general rule, The National Museum will cover the courier’s salary, and the Borrower shall meet all other expenses i.e. travel, accommodation and subsistence costs. As a general rule, air travel shall be business class.</w:t>
      </w:r>
      <w:r w:rsidRPr="00BC74BD">
        <w:rPr>
          <w:rFonts w:ascii="Calibri" w:hAnsi="Calibri"/>
          <w:i/>
          <w:lang w:val="en-GB"/>
        </w:rPr>
        <w:t xml:space="preserve"> </w:t>
      </w:r>
      <w:r w:rsidRPr="00BC74BD">
        <w:rPr>
          <w:rFonts w:ascii="Calibri" w:hAnsi="Calibri"/>
          <w:lang w:val="en-GB"/>
        </w:rPr>
        <w:t xml:space="preserve">The National Museum courier may </w:t>
      </w:r>
      <w:r w:rsidRPr="00BC74BD">
        <w:rPr>
          <w:rFonts w:ascii="Calibri" w:hAnsi="Calibri"/>
          <w:lang w:val="en-GB"/>
        </w:rPr>
        <w:lastRenderedPageBreak/>
        <w:t>remain at the exhibition venue after the opening of the exhibition in order to monitor security and environmental conditions.</w:t>
      </w:r>
    </w:p>
    <w:p w:rsidR="00340BF2" w:rsidRPr="00A17E6E" w:rsidRDefault="00340BF2" w:rsidP="00340BF2">
      <w:pPr>
        <w:rPr>
          <w:rFonts w:ascii="Calibri" w:hAnsi="Calibri"/>
          <w:lang w:val="en-GB"/>
        </w:rPr>
      </w:pPr>
    </w:p>
    <w:p w:rsidR="00340BF2" w:rsidRDefault="00340BF2" w:rsidP="00340BF2">
      <w:pPr>
        <w:rPr>
          <w:rFonts w:ascii="Calibri" w:hAnsi="Calibri"/>
          <w:lang w:val="en-GB"/>
        </w:rPr>
      </w:pPr>
      <w:r w:rsidRPr="00BC74BD">
        <w:rPr>
          <w:rFonts w:ascii="Calibri" w:hAnsi="Calibri"/>
          <w:lang w:val="en-GB"/>
        </w:rPr>
        <w:t>In the case of an exhibition having more than one venue the Borrower shall be liable for the cost of courier’s salaries to exhibition venues between the first and the last exhibition venue.</w:t>
      </w:r>
    </w:p>
    <w:p w:rsidR="00340BF2" w:rsidRPr="00A17E6E" w:rsidRDefault="00340BF2" w:rsidP="00340BF2">
      <w:pPr>
        <w:tabs>
          <w:tab w:val="left" w:pos="360"/>
        </w:tabs>
        <w:spacing w:after="120"/>
        <w:rPr>
          <w:rFonts w:ascii="Calibri" w:hAnsi="Calibri"/>
          <w:lang w:val="en-GB"/>
        </w:rPr>
      </w:pPr>
      <w:r w:rsidRPr="00BC74BD">
        <w:rPr>
          <w:rFonts w:ascii="Calibri" w:hAnsi="Calibri"/>
          <w:b/>
          <w:lang w:val="en-GB"/>
        </w:rPr>
        <w:t>10.</w:t>
      </w:r>
      <w:r w:rsidRPr="00BC74BD">
        <w:rPr>
          <w:rFonts w:ascii="Calibri" w:hAnsi="Calibri"/>
          <w:b/>
          <w:lang w:val="en-GB"/>
        </w:rPr>
        <w:tab/>
        <w:t>Additional Terms and Conditions</w:t>
      </w:r>
    </w:p>
    <w:p w:rsidR="00340BF2" w:rsidRPr="00A17E6E" w:rsidRDefault="00340BF2" w:rsidP="00340BF2">
      <w:pPr>
        <w:numPr>
          <w:ilvl w:val="0"/>
          <w:numId w:val="19"/>
        </w:numPr>
        <w:spacing w:after="120"/>
        <w:rPr>
          <w:rFonts w:ascii="Calibri" w:hAnsi="Calibri"/>
          <w:lang w:val="en-GB"/>
        </w:rPr>
      </w:pPr>
      <w:r w:rsidRPr="00BC74BD">
        <w:rPr>
          <w:rFonts w:ascii="Calibri" w:hAnsi="Calibri"/>
          <w:lang w:val="en-GB"/>
        </w:rPr>
        <w:t>Exhibition dates can be changed only after prior written agreement with The National Museum.</w:t>
      </w:r>
    </w:p>
    <w:p w:rsidR="003B0F0F" w:rsidRDefault="00340BF2" w:rsidP="00340BF2">
      <w:pPr>
        <w:numPr>
          <w:ilvl w:val="0"/>
          <w:numId w:val="19"/>
        </w:numPr>
        <w:spacing w:after="120"/>
        <w:rPr>
          <w:rFonts w:ascii="Calibri" w:hAnsi="Calibri"/>
          <w:lang w:val="en-GB"/>
        </w:rPr>
      </w:pPr>
      <w:r w:rsidRPr="00BC74BD">
        <w:rPr>
          <w:rFonts w:ascii="Calibri" w:hAnsi="Calibri"/>
          <w:lang w:val="en-GB"/>
        </w:rPr>
        <w:t xml:space="preserve">The National Museum shall at any time be entitled to withdraw loaned objects, if it deems custom clearance, security procedures or exhibition conditions unsatisfactory. Procedures and costs in connection with The National Museum’s withdrawal of objects shall follow the procedures and the allocation of costs stipulated for the normal conduct of a loan. </w:t>
      </w:r>
    </w:p>
    <w:p w:rsidR="00340BF2" w:rsidRPr="00A17E6E" w:rsidRDefault="00340BF2" w:rsidP="003B0F0F">
      <w:pPr>
        <w:spacing w:after="120"/>
        <w:ind w:left="624"/>
        <w:rPr>
          <w:rFonts w:ascii="Calibri" w:hAnsi="Calibri"/>
          <w:lang w:val="en-GB"/>
        </w:rPr>
      </w:pPr>
      <w:r w:rsidRPr="00BC74BD">
        <w:rPr>
          <w:rFonts w:ascii="Calibri" w:hAnsi="Calibri"/>
          <w:lang w:val="en-GB"/>
        </w:rPr>
        <w:t>The National Museum of Denmark shall not be liable for any financial loss in such circumstances (e.g. loss of admission revenue) and the Borrower is still liable for the agreed costs in connection w</w:t>
      </w:r>
      <w:r w:rsidR="00F9693D">
        <w:rPr>
          <w:rFonts w:ascii="Calibri" w:hAnsi="Calibri"/>
          <w:lang w:val="en-GB"/>
        </w:rPr>
        <w:t>ith the loan of the object(s) (</w:t>
      </w:r>
      <w:r w:rsidRPr="00BC74BD">
        <w:rPr>
          <w:rFonts w:ascii="Calibri" w:hAnsi="Calibri"/>
          <w:lang w:val="en-GB"/>
        </w:rPr>
        <w:t>e.g. conservation costs).</w:t>
      </w:r>
    </w:p>
    <w:p w:rsidR="00F9693D" w:rsidRDefault="00340BF2" w:rsidP="00340BF2">
      <w:pPr>
        <w:numPr>
          <w:ilvl w:val="0"/>
          <w:numId w:val="19"/>
        </w:numPr>
        <w:spacing w:after="120"/>
        <w:rPr>
          <w:rFonts w:ascii="Calibri" w:hAnsi="Calibri"/>
          <w:lang w:val="en-GB"/>
        </w:rPr>
      </w:pPr>
      <w:r w:rsidRPr="00BC74BD">
        <w:rPr>
          <w:rFonts w:ascii="Calibri" w:hAnsi="Calibri"/>
          <w:lang w:val="en-GB"/>
        </w:rPr>
        <w:t>The Borrower shall not make replicas, photographs or carry out scientific studies upon any objects</w:t>
      </w:r>
      <w:r w:rsidR="00F9693D">
        <w:rPr>
          <w:rFonts w:ascii="Calibri" w:hAnsi="Calibri"/>
          <w:lang w:val="en-GB"/>
        </w:rPr>
        <w:t xml:space="preserve"> without prior agreement with The National Museum</w:t>
      </w:r>
      <w:r w:rsidRPr="00BC74BD">
        <w:rPr>
          <w:rFonts w:ascii="Calibri" w:hAnsi="Calibri"/>
          <w:lang w:val="en-GB"/>
        </w:rPr>
        <w:t xml:space="preserve">. </w:t>
      </w:r>
      <w:r w:rsidR="00F9693D">
        <w:rPr>
          <w:rFonts w:ascii="Calibri" w:hAnsi="Calibri"/>
          <w:lang w:val="en-GB"/>
        </w:rPr>
        <w:t>The National Museum can reject these applications or demand to do them for an agreed price.</w:t>
      </w:r>
    </w:p>
    <w:p w:rsidR="00F9693D" w:rsidRDefault="00F9693D" w:rsidP="00550C03">
      <w:pPr>
        <w:numPr>
          <w:ilvl w:val="0"/>
          <w:numId w:val="19"/>
        </w:numPr>
        <w:spacing w:after="120"/>
        <w:rPr>
          <w:rFonts w:ascii="Calibri" w:hAnsi="Calibri"/>
          <w:lang w:val="en-GB"/>
        </w:rPr>
      </w:pPr>
      <w:r w:rsidRPr="00F9693D">
        <w:rPr>
          <w:rFonts w:ascii="Calibri" w:hAnsi="Calibri"/>
          <w:lang w:val="en-GB"/>
        </w:rPr>
        <w:t xml:space="preserve">The Borrower may reproduce photographs of parts of the exhibition that feature objects belonging to The National Museum, and use them freely </w:t>
      </w:r>
      <w:r>
        <w:rPr>
          <w:rFonts w:ascii="Calibri" w:hAnsi="Calibri"/>
          <w:lang w:val="en-GB"/>
        </w:rPr>
        <w:t>i</w:t>
      </w:r>
      <w:r w:rsidR="00340BF2" w:rsidRPr="00F9693D">
        <w:rPr>
          <w:rFonts w:ascii="Calibri" w:hAnsi="Calibri"/>
          <w:lang w:val="en-GB"/>
        </w:rPr>
        <w:t>n information material, pub</w:t>
      </w:r>
      <w:r w:rsidRPr="00F9693D">
        <w:rPr>
          <w:rFonts w:ascii="Calibri" w:hAnsi="Calibri"/>
          <w:lang w:val="en-GB"/>
        </w:rPr>
        <w:t xml:space="preserve">lications or teaching materials. </w:t>
      </w:r>
    </w:p>
    <w:p w:rsidR="002300CC" w:rsidRDefault="00F9693D" w:rsidP="00F9693D">
      <w:pPr>
        <w:spacing w:after="120"/>
        <w:ind w:left="624"/>
        <w:rPr>
          <w:rFonts w:ascii="Calibri" w:hAnsi="Calibri"/>
          <w:lang w:val="en-GB"/>
        </w:rPr>
      </w:pPr>
      <w:r>
        <w:rPr>
          <w:rFonts w:ascii="Calibri" w:hAnsi="Calibri"/>
          <w:lang w:val="en-GB"/>
        </w:rPr>
        <w:t xml:space="preserve">The Borrower may freely use the photographs of the borrowed objects in catalogues, for commercial purposes concerning the exhibition, for </w:t>
      </w:r>
      <w:proofErr w:type="spellStart"/>
      <w:r>
        <w:rPr>
          <w:rFonts w:ascii="Calibri" w:hAnsi="Calibri"/>
          <w:lang w:val="en-GB"/>
        </w:rPr>
        <w:t>pr</w:t>
      </w:r>
      <w:proofErr w:type="spellEnd"/>
      <w:r>
        <w:rPr>
          <w:rFonts w:ascii="Calibri" w:hAnsi="Calibri"/>
          <w:lang w:val="en-GB"/>
        </w:rPr>
        <w:t>-related purposes</w:t>
      </w:r>
      <w:r w:rsidR="002300CC">
        <w:rPr>
          <w:rFonts w:ascii="Calibri" w:hAnsi="Calibri"/>
          <w:lang w:val="en-GB"/>
        </w:rPr>
        <w:t xml:space="preserve"> and for teaching materials etc.</w:t>
      </w:r>
      <w:r>
        <w:rPr>
          <w:rFonts w:ascii="Calibri" w:hAnsi="Calibri"/>
          <w:lang w:val="en-GB"/>
        </w:rPr>
        <w:t xml:space="preserve"> </w:t>
      </w:r>
    </w:p>
    <w:p w:rsidR="00F9693D" w:rsidRDefault="00F9693D" w:rsidP="00F9693D">
      <w:pPr>
        <w:spacing w:after="120"/>
        <w:ind w:left="624"/>
        <w:rPr>
          <w:rFonts w:ascii="Calibri" w:hAnsi="Calibri"/>
          <w:lang w:val="en-GB"/>
        </w:rPr>
      </w:pPr>
      <w:r>
        <w:rPr>
          <w:rFonts w:ascii="Calibri" w:hAnsi="Calibri"/>
          <w:lang w:val="en-GB"/>
        </w:rPr>
        <w:t>The Borrower may freely submit those photographs to a third party, if and when the photographer is</w:t>
      </w:r>
      <w:r w:rsidR="002300CC">
        <w:rPr>
          <w:rFonts w:ascii="Calibri" w:hAnsi="Calibri"/>
          <w:lang w:val="en-GB"/>
        </w:rPr>
        <w:t xml:space="preserve"> always</w:t>
      </w:r>
      <w:r>
        <w:rPr>
          <w:rFonts w:ascii="Calibri" w:hAnsi="Calibri"/>
          <w:lang w:val="en-GB"/>
        </w:rPr>
        <w:t xml:space="preserve"> credited by name, and The National Museum is </w:t>
      </w:r>
      <w:r w:rsidR="002300CC">
        <w:rPr>
          <w:rFonts w:ascii="Calibri" w:hAnsi="Calibri"/>
          <w:lang w:val="en-GB"/>
        </w:rPr>
        <w:t>always credited as the source of the objects.</w:t>
      </w:r>
    </w:p>
    <w:p w:rsidR="00340BF2" w:rsidRPr="00F9693D" w:rsidRDefault="00340BF2" w:rsidP="00550C03">
      <w:pPr>
        <w:numPr>
          <w:ilvl w:val="0"/>
          <w:numId w:val="19"/>
        </w:numPr>
        <w:spacing w:after="120"/>
        <w:rPr>
          <w:rFonts w:ascii="Calibri" w:hAnsi="Calibri"/>
          <w:lang w:val="en-GB"/>
        </w:rPr>
      </w:pPr>
      <w:r w:rsidRPr="00F9693D">
        <w:rPr>
          <w:rFonts w:ascii="Calibri" w:hAnsi="Calibri"/>
          <w:lang w:val="en-GB"/>
        </w:rPr>
        <w:t xml:space="preserve">The Borrower shall ensure that all labelling of objects in the exhibition and descriptions in any other material clearly indicate that the object in question is on loan from The National Museum of Denmark. </w:t>
      </w:r>
    </w:p>
    <w:p w:rsidR="00340BF2" w:rsidRPr="00A17E6E" w:rsidRDefault="00340BF2" w:rsidP="00340BF2">
      <w:pPr>
        <w:numPr>
          <w:ilvl w:val="0"/>
          <w:numId w:val="19"/>
        </w:numPr>
        <w:rPr>
          <w:rFonts w:ascii="Calibri" w:hAnsi="Calibri"/>
          <w:lang w:val="en-GB"/>
        </w:rPr>
      </w:pPr>
      <w:r w:rsidRPr="00BC74BD">
        <w:rPr>
          <w:rFonts w:ascii="Calibri" w:hAnsi="Calibri"/>
          <w:lang w:val="en-GB"/>
        </w:rPr>
        <w:t xml:space="preserve">The National Museum shall receive four copies of the exhibition catalogue and two copies of all other written material produced in connection with the exhibition.  It shall be explicitly stated in correspondence with the Borrower, </w:t>
      </w:r>
      <w:r w:rsidRPr="00BC74BD">
        <w:rPr>
          <w:rFonts w:ascii="Calibri" w:hAnsi="Calibri"/>
          <w:lang w:val="en-GB"/>
        </w:rPr>
        <w:lastRenderedPageBreak/>
        <w:t>or in the Loan Agreement, how the National Museum wishes to be acknowledged in all written material.</w:t>
      </w:r>
    </w:p>
    <w:p w:rsidR="00340BF2" w:rsidRPr="00A17E6E" w:rsidRDefault="00340BF2" w:rsidP="00340BF2">
      <w:pPr>
        <w:ind w:left="284"/>
        <w:rPr>
          <w:rFonts w:ascii="Calibri" w:hAnsi="Calibri"/>
          <w:lang w:val="en-GB"/>
        </w:rPr>
      </w:pPr>
    </w:p>
    <w:p w:rsidR="00340BF2" w:rsidRPr="00A17E6E" w:rsidRDefault="00340BF2" w:rsidP="00340BF2">
      <w:pPr>
        <w:rPr>
          <w:rFonts w:ascii="Calibri" w:hAnsi="Calibri"/>
          <w:b/>
          <w:lang w:val="en-GB"/>
        </w:rPr>
      </w:pPr>
      <w:r w:rsidRPr="00BC74BD">
        <w:rPr>
          <w:rFonts w:ascii="Calibri" w:hAnsi="Calibri"/>
          <w:lang w:val="en-GB"/>
        </w:rPr>
        <w:br w:type="page"/>
      </w:r>
      <w:r w:rsidRPr="00BC74BD">
        <w:rPr>
          <w:rFonts w:ascii="Calibri" w:hAnsi="Calibri"/>
          <w:b/>
          <w:lang w:val="en-GB"/>
        </w:rPr>
        <w:lastRenderedPageBreak/>
        <w:t xml:space="preserve">12. </w:t>
      </w:r>
      <w:r w:rsidRPr="007C21CC">
        <w:rPr>
          <w:rFonts w:ascii="Calibri" w:hAnsi="Calibri"/>
          <w:b/>
        </w:rPr>
        <w:t>Processing</w:t>
      </w:r>
      <w:r w:rsidRPr="00BC74BD">
        <w:rPr>
          <w:rFonts w:ascii="Calibri" w:hAnsi="Calibri"/>
          <w:b/>
          <w:lang w:val="en-GB"/>
        </w:rPr>
        <w:t xml:space="preserve"> the Application, Signatures, Date</w:t>
      </w:r>
    </w:p>
    <w:p w:rsidR="00340BF2" w:rsidRPr="00A17E6E" w:rsidRDefault="00340BF2" w:rsidP="00340BF2">
      <w:pPr>
        <w:rPr>
          <w:rFonts w:ascii="Calibri" w:hAnsi="Calibri"/>
          <w:b/>
          <w:lang w:val="en-GB"/>
        </w:rPr>
      </w:pPr>
    </w:p>
    <w:p w:rsidR="00340BF2" w:rsidRDefault="00340BF2" w:rsidP="00340BF2">
      <w:pPr>
        <w:rPr>
          <w:rFonts w:ascii="Calibri" w:hAnsi="Calibri"/>
          <w:b/>
          <w:lang w:val="en-GB"/>
        </w:rPr>
      </w:pPr>
      <w:proofErr w:type="spellStart"/>
      <w:r>
        <w:rPr>
          <w:rFonts w:ascii="Calibri" w:hAnsi="Calibri"/>
          <w:b/>
          <w:lang w:val="en-GB"/>
        </w:rPr>
        <w:t>Ref.</w:t>
      </w:r>
      <w:r w:rsidRPr="00BC74BD">
        <w:rPr>
          <w:rFonts w:ascii="Calibri" w:hAnsi="Calibri"/>
          <w:b/>
          <w:lang w:val="en-GB"/>
        </w:rPr>
        <w:t>No</w:t>
      </w:r>
      <w:proofErr w:type="spellEnd"/>
      <w:r w:rsidRPr="00BC74BD">
        <w:rPr>
          <w:rFonts w:ascii="Calibri" w:hAnsi="Calibri"/>
          <w:b/>
          <w:lang w:val="en-GB"/>
        </w:rPr>
        <w:t>.</w:t>
      </w:r>
      <w:r w:rsidR="00453C98">
        <w:rPr>
          <w:rFonts w:ascii="Calibri" w:hAnsi="Calibri"/>
          <w:b/>
          <w:lang w:val="en-GB"/>
        </w:rPr>
        <w:t xml:space="preserve"> </w:t>
      </w:r>
      <w:bookmarkStart w:id="0" w:name="_GoBack"/>
      <w:bookmarkEnd w:id="0"/>
    </w:p>
    <w:p w:rsidR="00340BF2" w:rsidRPr="00A17E6E" w:rsidRDefault="00340BF2" w:rsidP="00340BF2">
      <w:pPr>
        <w:rPr>
          <w:rFonts w:ascii="Calibri" w:hAnsi="Calibri"/>
          <w:lang w:val="en-GB"/>
        </w:rPr>
      </w:pPr>
      <w:r>
        <w:rPr>
          <w:rFonts w:ascii="Calibri" w:hAnsi="Calibri"/>
          <w:lang w:val="en-GB"/>
        </w:rPr>
        <w:t>C</w:t>
      </w:r>
      <w:r w:rsidRPr="00BC74BD">
        <w:rPr>
          <w:rFonts w:ascii="Calibri" w:hAnsi="Calibri"/>
          <w:lang w:val="en-GB"/>
        </w:rPr>
        <w:t xml:space="preserve">ontact person processing the application at </w:t>
      </w:r>
      <w:r w:rsidRPr="00BC74BD">
        <w:rPr>
          <w:rFonts w:ascii="Calibri" w:hAnsi="Calibri"/>
          <w:b/>
          <w:lang w:val="en-GB"/>
        </w:rPr>
        <w:t>The National Museum of Denmark</w:t>
      </w:r>
      <w:r w:rsidRPr="00BC74BD">
        <w:rPr>
          <w:rFonts w:ascii="Calibri" w:hAnsi="Calibri"/>
          <w:lang w:val="en-GB"/>
        </w:rPr>
        <w:t>:</w:t>
      </w:r>
    </w:p>
    <w:p w:rsidR="002300CC" w:rsidRDefault="002300CC" w:rsidP="00340BF2">
      <w:pPr>
        <w:snapToGrid w:val="0"/>
        <w:rPr>
          <w:rFonts w:ascii="Calibri" w:hAnsi="Calibri"/>
          <w:lang w:val="en-GB"/>
        </w:rPr>
      </w:pPr>
    </w:p>
    <w:p w:rsidR="00340BF2" w:rsidRDefault="00340BF2" w:rsidP="00340BF2">
      <w:pPr>
        <w:snapToGrid w:val="0"/>
        <w:rPr>
          <w:rFonts w:ascii="Calibri" w:hAnsi="Calibri"/>
          <w:lang w:val="de-DE"/>
        </w:rPr>
      </w:pPr>
      <w:r w:rsidRPr="00BC74BD">
        <w:rPr>
          <w:rFonts w:ascii="Calibri" w:hAnsi="Calibri"/>
          <w:lang w:val="de-DE"/>
        </w:rPr>
        <w:t xml:space="preserve">Name: </w:t>
      </w:r>
      <w:r w:rsidR="00EE4A99">
        <w:rPr>
          <w:rFonts w:ascii="Calibri" w:hAnsi="Calibri"/>
          <w:lang w:val="de-DE"/>
        </w:rPr>
        <w:t>Karen Brynjolf Pedersen</w:t>
      </w:r>
    </w:p>
    <w:p w:rsidR="00340BF2" w:rsidRDefault="00340BF2" w:rsidP="00340BF2">
      <w:pPr>
        <w:snapToGrid w:val="0"/>
        <w:rPr>
          <w:rFonts w:ascii="Calibri" w:hAnsi="Calibri"/>
          <w:lang w:val="de-DE"/>
        </w:rPr>
      </w:pPr>
      <w:proofErr w:type="spellStart"/>
      <w:r>
        <w:rPr>
          <w:rFonts w:ascii="Calibri" w:hAnsi="Calibri"/>
          <w:lang w:val="de-DE"/>
        </w:rPr>
        <w:t>Address</w:t>
      </w:r>
      <w:proofErr w:type="spellEnd"/>
      <w:r>
        <w:rPr>
          <w:rFonts w:ascii="Calibri" w:hAnsi="Calibri"/>
          <w:lang w:val="de-DE"/>
        </w:rPr>
        <w:t xml:space="preserve">: </w:t>
      </w:r>
      <w:r w:rsidR="002300CC">
        <w:rPr>
          <w:rFonts w:ascii="Calibri" w:hAnsi="Calibri"/>
          <w:lang w:val="de-DE"/>
        </w:rPr>
        <w:t xml:space="preserve">The National Museum </w:t>
      </w:r>
      <w:proofErr w:type="spellStart"/>
      <w:r w:rsidR="002300CC">
        <w:rPr>
          <w:rFonts w:ascii="Calibri" w:hAnsi="Calibri"/>
          <w:lang w:val="de-DE"/>
        </w:rPr>
        <w:t>of</w:t>
      </w:r>
      <w:proofErr w:type="spellEnd"/>
      <w:r w:rsidR="002300CC">
        <w:rPr>
          <w:rFonts w:ascii="Calibri" w:hAnsi="Calibri"/>
          <w:lang w:val="de-DE"/>
        </w:rPr>
        <w:t xml:space="preserve"> </w:t>
      </w:r>
      <w:proofErr w:type="spellStart"/>
      <w:r w:rsidR="002300CC">
        <w:rPr>
          <w:rFonts w:ascii="Calibri" w:hAnsi="Calibri"/>
          <w:lang w:val="de-DE"/>
        </w:rPr>
        <w:t>Denmark</w:t>
      </w:r>
      <w:proofErr w:type="spellEnd"/>
      <w:r>
        <w:rPr>
          <w:rFonts w:ascii="Calibri" w:hAnsi="Calibri"/>
          <w:lang w:val="de-DE"/>
        </w:rPr>
        <w:t xml:space="preserve">, </w:t>
      </w:r>
      <w:proofErr w:type="spellStart"/>
      <w:r w:rsidR="006E5411">
        <w:rPr>
          <w:rFonts w:ascii="Calibri" w:hAnsi="Calibri"/>
          <w:lang w:val="de-DE"/>
        </w:rPr>
        <w:t>I.C.Modewegsvej</w:t>
      </w:r>
      <w:proofErr w:type="spellEnd"/>
      <w:r w:rsidR="00AE4DCD">
        <w:rPr>
          <w:rFonts w:ascii="Calibri" w:hAnsi="Calibri"/>
          <w:lang w:val="de-DE"/>
        </w:rPr>
        <w:t xml:space="preserve"> 9</w:t>
      </w:r>
      <w:r w:rsidR="006E5411">
        <w:rPr>
          <w:rFonts w:ascii="Calibri" w:hAnsi="Calibri"/>
          <w:lang w:val="de-DE"/>
        </w:rPr>
        <w:t xml:space="preserve">, </w:t>
      </w:r>
      <w:r>
        <w:rPr>
          <w:rFonts w:ascii="Calibri" w:hAnsi="Calibri"/>
          <w:lang w:val="de-DE"/>
        </w:rPr>
        <w:t xml:space="preserve">Brede, DK-2800 </w:t>
      </w:r>
      <w:proofErr w:type="spellStart"/>
      <w:r>
        <w:rPr>
          <w:rFonts w:ascii="Calibri" w:hAnsi="Calibri"/>
          <w:lang w:val="de-DE"/>
        </w:rPr>
        <w:t>Kgs</w:t>
      </w:r>
      <w:proofErr w:type="spellEnd"/>
      <w:r>
        <w:rPr>
          <w:rFonts w:ascii="Calibri" w:hAnsi="Calibri"/>
          <w:lang w:val="de-DE"/>
        </w:rPr>
        <w:t xml:space="preserve">. Lyngby, </w:t>
      </w:r>
      <w:proofErr w:type="spellStart"/>
      <w:r>
        <w:rPr>
          <w:rFonts w:ascii="Calibri" w:hAnsi="Calibri"/>
          <w:lang w:val="de-DE"/>
        </w:rPr>
        <w:t>Denmark</w:t>
      </w:r>
      <w:proofErr w:type="spellEnd"/>
    </w:p>
    <w:p w:rsidR="002300CC" w:rsidRDefault="002300CC" w:rsidP="00340BF2">
      <w:pPr>
        <w:snapToGrid w:val="0"/>
        <w:rPr>
          <w:rFonts w:ascii="Calibri" w:hAnsi="Calibri"/>
          <w:lang w:val="de-DE"/>
        </w:rPr>
      </w:pPr>
    </w:p>
    <w:p w:rsidR="00340BF2" w:rsidRPr="00A17E6E" w:rsidRDefault="00340BF2" w:rsidP="00340BF2">
      <w:pPr>
        <w:snapToGrid w:val="0"/>
        <w:rPr>
          <w:rFonts w:ascii="Calibri" w:hAnsi="Calibri"/>
          <w:lang w:val="de-DE"/>
        </w:rPr>
      </w:pPr>
      <w:proofErr w:type="spellStart"/>
      <w:r w:rsidRPr="00BC74BD">
        <w:rPr>
          <w:rFonts w:ascii="Calibri" w:hAnsi="Calibri"/>
          <w:lang w:val="de-DE"/>
        </w:rPr>
        <w:t>E-mail</w:t>
      </w:r>
      <w:proofErr w:type="spellEnd"/>
      <w:r w:rsidRPr="00BC74BD">
        <w:rPr>
          <w:rFonts w:ascii="Calibri" w:hAnsi="Calibri"/>
          <w:lang w:val="de-DE"/>
        </w:rPr>
        <w:t xml:space="preserve">:  </w:t>
      </w:r>
      <w:hyperlink r:id="rId9" w:history="1">
        <w:r w:rsidR="00EE4A99" w:rsidRPr="00B40599">
          <w:rPr>
            <w:rStyle w:val="Hyperlink"/>
            <w:rFonts w:ascii="Calibri" w:hAnsi="Calibri"/>
            <w:lang w:val="de-DE"/>
          </w:rPr>
          <w:t>karen.brynjolf.pedersen@natmus.dk</w:t>
        </w:r>
      </w:hyperlink>
      <w:r w:rsidR="00453C98">
        <w:rPr>
          <w:rFonts w:ascii="Calibri" w:hAnsi="Calibri"/>
          <w:lang w:val="de-DE"/>
        </w:rPr>
        <w:t xml:space="preserve"> </w:t>
      </w:r>
    </w:p>
    <w:p w:rsidR="00340BF2" w:rsidRPr="00A17E6E" w:rsidRDefault="00340BF2" w:rsidP="00340BF2">
      <w:pPr>
        <w:snapToGrid w:val="0"/>
        <w:rPr>
          <w:rFonts w:ascii="Calibri" w:hAnsi="Calibri"/>
          <w:lang w:val="en-GB"/>
        </w:rPr>
      </w:pPr>
      <w:r>
        <w:rPr>
          <w:rFonts w:ascii="Calibri" w:hAnsi="Calibri"/>
          <w:lang w:val="en-GB"/>
        </w:rPr>
        <w:t xml:space="preserve">Telephone: </w:t>
      </w:r>
      <w:r w:rsidR="00453C98">
        <w:rPr>
          <w:rFonts w:ascii="Calibri" w:hAnsi="Calibri"/>
          <w:lang w:val="en-GB"/>
        </w:rPr>
        <w:t xml:space="preserve">+45 41 20 65 </w:t>
      </w:r>
      <w:r w:rsidR="00EE4A99">
        <w:rPr>
          <w:rFonts w:ascii="Calibri" w:hAnsi="Calibri"/>
          <w:lang w:val="en-GB"/>
        </w:rPr>
        <w:t>71</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 xml:space="preserve">The contact person on behalf of the </w:t>
      </w:r>
      <w:r w:rsidRPr="00BC74BD">
        <w:rPr>
          <w:rFonts w:ascii="Calibri" w:hAnsi="Calibri"/>
          <w:b/>
          <w:lang w:val="en-GB"/>
        </w:rPr>
        <w:t>Borrower</w:t>
      </w:r>
      <w:r w:rsidRPr="00BC74BD">
        <w:rPr>
          <w:rFonts w:ascii="Calibri" w:hAnsi="Calibri"/>
          <w:lang w:val="en-GB"/>
        </w:rPr>
        <w:t>:</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Name:</w:t>
      </w:r>
      <w:r w:rsidRPr="00BC74BD">
        <w:rPr>
          <w:rFonts w:ascii="Calibri" w:hAnsi="Calibri"/>
          <w:lang w:val="en-GB"/>
        </w:rPr>
        <w:tab/>
        <w:t>________________________</w:t>
      </w:r>
      <w:r w:rsidR="002300CC">
        <w:rPr>
          <w:rFonts w:ascii="Calibri" w:hAnsi="Calibri"/>
          <w:lang w:val="en-GB"/>
        </w:rPr>
        <w:t>______________________________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Institution:</w:t>
      </w:r>
      <w:r w:rsidRPr="00BC74BD">
        <w:rPr>
          <w:rFonts w:ascii="Calibri" w:hAnsi="Calibri"/>
          <w:lang w:val="en-GB"/>
        </w:rPr>
        <w:tab/>
        <w:t>____________________________________________</w:t>
      </w:r>
      <w:r w:rsidR="002300CC">
        <w:rPr>
          <w:rFonts w:ascii="Calibri" w:hAnsi="Calibri"/>
          <w:lang w:val="en-GB"/>
        </w:rPr>
        <w:t>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Address:</w:t>
      </w:r>
      <w:r w:rsidRPr="00BC74BD">
        <w:rPr>
          <w:rFonts w:ascii="Calibri" w:hAnsi="Calibri"/>
          <w:lang w:val="en-GB"/>
        </w:rPr>
        <w:tab/>
        <w:t>________________________</w:t>
      </w:r>
      <w:r w:rsidR="002300CC">
        <w:rPr>
          <w:rFonts w:ascii="Calibri" w:hAnsi="Calibri"/>
          <w:lang w:val="en-GB"/>
        </w:rPr>
        <w:t>______________________________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E-mail:</w:t>
      </w:r>
      <w:r w:rsidRPr="00BC74BD">
        <w:rPr>
          <w:rFonts w:ascii="Calibri" w:hAnsi="Calibri"/>
          <w:lang w:val="en-GB"/>
        </w:rPr>
        <w:tab/>
        <w:t>________________________</w:t>
      </w:r>
      <w:r w:rsidR="002300CC">
        <w:rPr>
          <w:rFonts w:ascii="Calibri" w:hAnsi="Calibri"/>
          <w:lang w:val="en-GB"/>
        </w:rPr>
        <w:t>______________________________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Telephone:</w:t>
      </w:r>
      <w:r w:rsidRPr="00BC74BD">
        <w:rPr>
          <w:rFonts w:ascii="Calibri" w:hAnsi="Calibri"/>
          <w:lang w:val="en-GB"/>
        </w:rPr>
        <w:tab/>
        <w:t>________________________</w:t>
      </w:r>
      <w:r w:rsidR="002300CC">
        <w:rPr>
          <w:rFonts w:ascii="Calibri" w:hAnsi="Calibri"/>
          <w:lang w:val="en-GB"/>
        </w:rPr>
        <w:t>______________________________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 xml:space="preserve">Mobile </w:t>
      </w:r>
      <w:proofErr w:type="spellStart"/>
      <w:r w:rsidRPr="00BC74BD">
        <w:rPr>
          <w:rFonts w:ascii="Calibri" w:hAnsi="Calibri"/>
          <w:lang w:val="en-GB"/>
        </w:rPr>
        <w:t>tel</w:t>
      </w:r>
      <w:proofErr w:type="spellEnd"/>
      <w:r w:rsidRPr="00BC74BD">
        <w:rPr>
          <w:rFonts w:ascii="Calibri" w:hAnsi="Calibri"/>
          <w:lang w:val="en-GB"/>
        </w:rPr>
        <w:t>:</w:t>
      </w:r>
      <w:r w:rsidRPr="00BC74BD">
        <w:rPr>
          <w:rFonts w:ascii="Calibri" w:hAnsi="Calibri"/>
          <w:lang w:val="en-GB"/>
        </w:rPr>
        <w:tab/>
        <w:t>___________________________</w:t>
      </w:r>
      <w:r w:rsidR="002300CC">
        <w:rPr>
          <w:rFonts w:ascii="Calibri" w:hAnsi="Calibri"/>
          <w:lang w:val="en-GB"/>
        </w:rPr>
        <w:t>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r w:rsidRPr="00BC74BD">
        <w:rPr>
          <w:rFonts w:ascii="Calibri" w:hAnsi="Calibri"/>
          <w:lang w:val="en-GB"/>
        </w:rPr>
        <w:t>VAT No.         ______________________________________________________</w:t>
      </w:r>
    </w:p>
    <w:p w:rsidR="00340BF2" w:rsidRPr="00A17E6E" w:rsidRDefault="00340BF2" w:rsidP="00340BF2">
      <w:pPr>
        <w:snapToGrid w:val="0"/>
        <w:rPr>
          <w:rFonts w:ascii="Calibri" w:hAnsi="Calibri"/>
          <w:lang w:val="en-GB"/>
        </w:rPr>
      </w:pPr>
    </w:p>
    <w:p w:rsidR="00340BF2" w:rsidRPr="00A17E6E" w:rsidRDefault="00340BF2" w:rsidP="00340BF2">
      <w:pPr>
        <w:snapToGrid w:val="0"/>
        <w:rPr>
          <w:rFonts w:ascii="Calibri" w:hAnsi="Calibri"/>
          <w:lang w:val="en-GB"/>
        </w:rPr>
      </w:pPr>
    </w:p>
    <w:p w:rsidR="00340BF2" w:rsidRPr="00A17E6E" w:rsidRDefault="00340BF2" w:rsidP="00340BF2">
      <w:pPr>
        <w:rPr>
          <w:rFonts w:ascii="Calibri" w:hAnsi="Calibri"/>
          <w:lang w:val="en-GB"/>
        </w:rPr>
      </w:pPr>
      <w:r w:rsidRPr="00BC74BD">
        <w:rPr>
          <w:rFonts w:ascii="Calibri" w:hAnsi="Calibri"/>
          <w:lang w:val="en-GB"/>
        </w:rPr>
        <w:t xml:space="preserve">With a view to negotiating a Loan Agreement, the Borrower accepts the above conditions relating to loans from The National Museum of Denmark. </w:t>
      </w:r>
    </w:p>
    <w:p w:rsidR="00340BF2" w:rsidRPr="00A17E6E" w:rsidRDefault="00340BF2" w:rsidP="00340BF2">
      <w:pPr>
        <w:rPr>
          <w:rFonts w:ascii="Calibri" w:hAnsi="Calibri"/>
          <w:lang w:val="en-GB"/>
        </w:rPr>
      </w:pPr>
    </w:p>
    <w:p w:rsidR="00340BF2" w:rsidRPr="00A17E6E" w:rsidRDefault="00340BF2" w:rsidP="00340BF2">
      <w:pPr>
        <w:tabs>
          <w:tab w:val="left" w:pos="5103"/>
        </w:tabs>
        <w:rPr>
          <w:rFonts w:ascii="Calibri" w:hAnsi="Calibri"/>
          <w:sz w:val="20"/>
          <w:lang w:val="en-GB"/>
        </w:rPr>
      </w:pPr>
      <w:r w:rsidRPr="00BC74BD">
        <w:rPr>
          <w:rFonts w:ascii="Calibri" w:hAnsi="Calibri"/>
          <w:sz w:val="20"/>
          <w:lang w:val="en-GB"/>
        </w:rPr>
        <w:t xml:space="preserve">For the Borrower: </w:t>
      </w:r>
      <w:r w:rsidR="002300CC">
        <w:rPr>
          <w:rFonts w:ascii="Calibri" w:hAnsi="Calibri"/>
          <w:sz w:val="20"/>
          <w:lang w:val="en-GB"/>
        </w:rPr>
        <w:t xml:space="preserve">name, </w:t>
      </w:r>
      <w:r w:rsidRPr="00BC74BD">
        <w:rPr>
          <w:rFonts w:ascii="Calibri" w:hAnsi="Calibri"/>
          <w:sz w:val="20"/>
          <w:lang w:val="en-GB"/>
        </w:rPr>
        <w:t>stamp, job title, signature</w:t>
      </w:r>
      <w:r w:rsidRPr="00BC74BD">
        <w:rPr>
          <w:rFonts w:ascii="Calibri" w:hAnsi="Calibri"/>
          <w:sz w:val="20"/>
          <w:lang w:val="en-GB"/>
        </w:rPr>
        <w:tab/>
      </w:r>
    </w:p>
    <w:p w:rsidR="00340BF2" w:rsidRPr="00A17E6E" w:rsidRDefault="00340BF2" w:rsidP="00340BF2">
      <w:pPr>
        <w:tabs>
          <w:tab w:val="left" w:pos="5103"/>
        </w:tabs>
        <w:rPr>
          <w:rFonts w:ascii="Calibri" w:hAnsi="Calibri"/>
          <w:sz w:val="20"/>
          <w:lang w:val="en-GB"/>
        </w:rPr>
      </w:pPr>
    </w:p>
    <w:p w:rsidR="00340BF2" w:rsidRPr="00A17E6E" w:rsidRDefault="00340BF2" w:rsidP="00340BF2">
      <w:pPr>
        <w:pStyle w:val="Sidehoved"/>
        <w:tabs>
          <w:tab w:val="left" w:pos="5103"/>
        </w:tabs>
        <w:rPr>
          <w:rFonts w:ascii="Calibri" w:hAnsi="Calibri"/>
          <w:lang w:val="en-GB"/>
        </w:rPr>
      </w:pPr>
      <w:r w:rsidRPr="00BC74BD">
        <w:rPr>
          <w:rFonts w:ascii="Calibri" w:hAnsi="Calibri"/>
          <w:lang w:val="en-GB"/>
        </w:rPr>
        <w:t>____________________________________________________________________</w:t>
      </w:r>
    </w:p>
    <w:p w:rsidR="00340BF2" w:rsidRPr="00A17E6E" w:rsidRDefault="00340BF2" w:rsidP="00340BF2">
      <w:pPr>
        <w:tabs>
          <w:tab w:val="left" w:pos="1080"/>
        </w:tabs>
        <w:rPr>
          <w:rFonts w:ascii="Calibri" w:hAnsi="Calibri"/>
          <w:lang w:val="en-GB"/>
        </w:rPr>
      </w:pPr>
    </w:p>
    <w:p w:rsidR="00340BF2" w:rsidRPr="00A17E6E" w:rsidRDefault="00340BF2" w:rsidP="00340BF2">
      <w:pPr>
        <w:rPr>
          <w:rFonts w:ascii="Calibri" w:hAnsi="Calibri"/>
          <w:sz w:val="16"/>
          <w:lang w:val="en-GB"/>
        </w:rPr>
      </w:pPr>
    </w:p>
    <w:p w:rsidR="00340BF2" w:rsidRPr="00A17E6E" w:rsidRDefault="00340BF2" w:rsidP="00340BF2">
      <w:pPr>
        <w:rPr>
          <w:rFonts w:ascii="Calibri" w:hAnsi="Calibri"/>
          <w:sz w:val="16"/>
          <w:lang w:val="da-DK"/>
        </w:rPr>
      </w:pPr>
      <w:r w:rsidRPr="00BC74BD">
        <w:rPr>
          <w:rFonts w:ascii="Calibri" w:hAnsi="Calibri"/>
          <w:sz w:val="20"/>
          <w:lang w:val="en-GB"/>
        </w:rPr>
        <w:t>Date</w:t>
      </w:r>
      <w:r w:rsidR="002300CC">
        <w:rPr>
          <w:rFonts w:ascii="Calibri" w:hAnsi="Calibri"/>
          <w:sz w:val="20"/>
          <w:lang w:val="en-GB"/>
        </w:rPr>
        <w:t xml:space="preserve">: </w:t>
      </w:r>
      <w:r w:rsidRPr="00BC74BD">
        <w:rPr>
          <w:rFonts w:ascii="Calibri" w:hAnsi="Calibri"/>
          <w:sz w:val="16"/>
          <w:lang w:val="da-DK"/>
        </w:rPr>
        <w:t>_________________________________________________</w:t>
      </w:r>
    </w:p>
    <w:p w:rsidR="00EA3793" w:rsidRPr="00663F61" w:rsidRDefault="00EA3793" w:rsidP="00EF19B3"/>
    <w:sectPr w:rsidR="00EA3793" w:rsidRPr="00663F61" w:rsidSect="00453C98">
      <w:footerReference w:type="default" r:id="rId10"/>
      <w:headerReference w:type="first" r:id="rId11"/>
      <w:footerReference w:type="first" r:id="rId12"/>
      <w:endnotePr>
        <w:numFmt w:val="decimal"/>
      </w:endnotePr>
      <w:pgSz w:w="11907" w:h="16840" w:code="9"/>
      <w:pgMar w:top="2211" w:right="2268"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FD" w:rsidRDefault="00A755FD" w:rsidP="007C518A">
      <w:r>
        <w:separator/>
      </w:r>
    </w:p>
  </w:endnote>
  <w:endnote w:type="continuationSeparator" w:id="0">
    <w:p w:rsidR="00A755FD" w:rsidRDefault="00A755FD"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F2" w:rsidRDefault="00340BF2">
    <w:pPr>
      <w:pStyle w:val="Sidefod"/>
      <w:jc w:val="center"/>
      <w:rPr>
        <w:sz w:val="20"/>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Pr="00EF19B3" w:rsidRDefault="00EF19B3" w:rsidP="00EF19B3">
    <w:pPr>
      <w:pStyle w:val="Sidefod"/>
      <w:tabs>
        <w:tab w:val="clear" w:pos="0"/>
        <w:tab w:val="clear" w:pos="3686"/>
        <w:tab w:val="center" w:pos="4550"/>
      </w:tabs>
      <w:ind w:left="-966"/>
      <w:rPr>
        <w:sz w:val="20"/>
      </w:rPr>
    </w:pPr>
    <w:r>
      <w:rPr>
        <w:sz w:val="20"/>
      </w:rPr>
      <w:tab/>
    </w:r>
    <w:r w:rsidRPr="00EF19B3">
      <w:rPr>
        <w:sz w:val="20"/>
      </w:rPr>
      <w:fldChar w:fldCharType="begin"/>
    </w:r>
    <w:r w:rsidRPr="00EF19B3">
      <w:rPr>
        <w:sz w:val="20"/>
      </w:rPr>
      <w:instrText xml:space="preserve"> PAGE   \* MERGEFORMAT </w:instrText>
    </w:r>
    <w:r w:rsidRPr="00EF19B3">
      <w:rPr>
        <w:sz w:val="20"/>
      </w:rPr>
      <w:fldChar w:fldCharType="separate"/>
    </w:r>
    <w:r w:rsidR="008773F5">
      <w:rPr>
        <w:sz w:val="20"/>
      </w:rPr>
      <w:t>5</w:t>
    </w:r>
    <w:r w:rsidRPr="00EF19B3">
      <w:rPr>
        <w:sz w:val="20"/>
      </w:rPr>
      <w:fldChar w:fldCharType="end"/>
    </w:r>
    <w:r w:rsidR="004A6D89" w:rsidRPr="00EF19B3">
      <w:rPr>
        <w:sz w:val="20"/>
        <w:lang w:val="da-DK" w:eastAsia="da-DK"/>
      </w:rPr>
      <w:drawing>
        <wp:anchor distT="0" distB="0" distL="114300" distR="114300" simplePos="0" relativeHeight="251659264" behindDoc="0" locked="0" layoutInCell="1" allowOverlap="1" wp14:anchorId="70FB6FCF" wp14:editId="78FD5C85">
          <wp:simplePos x="0" y="0"/>
          <wp:positionH relativeFrom="column">
            <wp:posOffset>5538470</wp:posOffset>
          </wp:positionH>
          <wp:positionV relativeFrom="paragraph">
            <wp:posOffset>-746760</wp:posOffset>
          </wp:positionV>
          <wp:extent cx="828675" cy="895350"/>
          <wp:effectExtent l="0" t="0" r="9525" b="0"/>
          <wp:wrapSquare wrapText="bothSides"/>
          <wp:docPr id="13" name="Billede 1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Default="004A6D89" w:rsidP="004A6D89">
    <w:pPr>
      <w:pStyle w:val="Sidefod"/>
      <w:tabs>
        <w:tab w:val="clear" w:pos="0"/>
      </w:tabs>
      <w:ind w:left="-966"/>
    </w:pPr>
    <w:r>
      <w:rPr>
        <w:lang w:val="da-DK" w:eastAsia="da-DK"/>
      </w:rPr>
      <w:drawing>
        <wp:anchor distT="0" distB="0" distL="114300" distR="114300" simplePos="0" relativeHeight="251658240" behindDoc="0" locked="0" layoutInCell="1" allowOverlap="1" wp14:anchorId="067D88A3" wp14:editId="18EF9AFA">
          <wp:simplePos x="0" y="0"/>
          <wp:positionH relativeFrom="column">
            <wp:posOffset>5538470</wp:posOffset>
          </wp:positionH>
          <wp:positionV relativeFrom="paragraph">
            <wp:posOffset>-746760</wp:posOffset>
          </wp:positionV>
          <wp:extent cx="828675" cy="895350"/>
          <wp:effectExtent l="0" t="0" r="9525" b="0"/>
          <wp:wrapSquare wrapText="bothSides"/>
          <wp:docPr id="15" name="Billede 1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a-DK" w:eastAsia="da-DK"/>
      </w:rPr>
      <w:drawing>
        <wp:inline distT="0" distB="0" distL="0" distR="0" wp14:anchorId="3B19206B" wp14:editId="4DFD7A2B">
          <wp:extent cx="1657350" cy="142875"/>
          <wp:effectExtent l="0" t="0" r="0" b="9525"/>
          <wp:docPr id="16" name="Billede 16"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FD" w:rsidRDefault="00A755FD" w:rsidP="007C518A">
      <w:r>
        <w:separator/>
      </w:r>
    </w:p>
  </w:footnote>
  <w:footnote w:type="continuationSeparator" w:id="0">
    <w:p w:rsidR="00A755FD" w:rsidRDefault="00A755FD" w:rsidP="007C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F2" w:rsidRDefault="00340BF2">
    <w:pPr>
      <w:pStyle w:val="Sidehoved"/>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B7" w:rsidRDefault="004A6D89" w:rsidP="004A6D89">
    <w:pPr>
      <w:pStyle w:val="Sidehoved"/>
      <w:tabs>
        <w:tab w:val="clear" w:pos="0"/>
      </w:tabs>
      <w:ind w:left="-966"/>
    </w:pPr>
    <w:r>
      <w:rPr>
        <w:noProof/>
        <w:lang w:val="da-DK" w:eastAsia="da-DK"/>
      </w:rPr>
      <w:drawing>
        <wp:anchor distT="0" distB="0" distL="114300" distR="114300" simplePos="0" relativeHeight="251661312" behindDoc="1" locked="0" layoutInCell="1" allowOverlap="1" wp14:anchorId="2AD351FA" wp14:editId="07FCC0CF">
          <wp:simplePos x="0" y="0"/>
          <wp:positionH relativeFrom="page">
            <wp:posOffset>288290</wp:posOffset>
          </wp:positionH>
          <wp:positionV relativeFrom="page">
            <wp:posOffset>288290</wp:posOffset>
          </wp:positionV>
          <wp:extent cx="1656000" cy="172800"/>
          <wp:effectExtent l="0" t="0" r="1905" b="0"/>
          <wp:wrapNone/>
          <wp:docPr id="14" name="Billede 14"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6B2758"/>
    <w:multiLevelType w:val="hybridMultilevel"/>
    <w:tmpl w:val="10F839E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1E1F7E"/>
    <w:multiLevelType w:val="singleLevel"/>
    <w:tmpl w:val="82B0375E"/>
    <w:lvl w:ilvl="0">
      <w:start w:val="1"/>
      <w:numFmt w:val="lowerLetter"/>
      <w:lvlText w:val="%1)"/>
      <w:lvlJc w:val="left"/>
      <w:pPr>
        <w:tabs>
          <w:tab w:val="num" w:pos="644"/>
        </w:tabs>
        <w:ind w:left="624" w:hanging="340"/>
      </w:pPr>
      <w:rPr>
        <w:rFonts w:hint="default"/>
      </w:rPr>
    </w:lvl>
  </w:abstractNum>
  <w:abstractNum w:abstractNumId="13" w15:restartNumberingAfterBreak="0">
    <w:nsid w:val="2FE76FDE"/>
    <w:multiLevelType w:val="hybridMultilevel"/>
    <w:tmpl w:val="CB502F66"/>
    <w:lvl w:ilvl="0" w:tplc="1144D1E2">
      <w:start w:val="1"/>
      <w:numFmt w:val="lowerLetter"/>
      <w:lvlText w:val="%1)"/>
      <w:lvlJc w:val="left"/>
      <w:pPr>
        <w:tabs>
          <w:tab w:val="num" w:pos="644"/>
        </w:tabs>
        <w:ind w:left="624"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3C5A3E"/>
    <w:multiLevelType w:val="hybridMultilevel"/>
    <w:tmpl w:val="6012F30A"/>
    <w:lvl w:ilvl="0" w:tplc="1EF884BA">
      <w:start w:val="1"/>
      <w:numFmt w:val="lowerLetter"/>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7" w15:restartNumberingAfterBreak="0">
    <w:nsid w:val="546332A6"/>
    <w:multiLevelType w:val="singleLevel"/>
    <w:tmpl w:val="7750A90C"/>
    <w:lvl w:ilvl="0">
      <w:start w:val="1"/>
      <w:numFmt w:val="lowerLetter"/>
      <w:lvlText w:val="%1)"/>
      <w:lvlJc w:val="left"/>
      <w:pPr>
        <w:tabs>
          <w:tab w:val="num" w:pos="644"/>
        </w:tabs>
        <w:ind w:left="624" w:hanging="340"/>
      </w:pPr>
      <w:rPr>
        <w:rFonts w:hint="default"/>
      </w:rPr>
    </w:lvl>
  </w:abstractNum>
  <w:abstractNum w:abstractNumId="18" w15:restartNumberingAfterBreak="0">
    <w:nsid w:val="54FE4F79"/>
    <w:multiLevelType w:val="singleLevel"/>
    <w:tmpl w:val="0A1058C8"/>
    <w:lvl w:ilvl="0">
      <w:start w:val="1"/>
      <w:numFmt w:val="lowerLetter"/>
      <w:lvlText w:val="%1)"/>
      <w:lvlJc w:val="left"/>
      <w:pPr>
        <w:tabs>
          <w:tab w:val="num" w:pos="644"/>
        </w:tabs>
        <w:ind w:left="624" w:hanging="340"/>
      </w:pPr>
      <w:rPr>
        <w:rFonts w:hint="default"/>
      </w:rPr>
    </w:lvl>
  </w:abstractNum>
  <w:abstractNum w:abstractNumId="19" w15:restartNumberingAfterBreak="0">
    <w:nsid w:val="5E0A6855"/>
    <w:multiLevelType w:val="singleLevel"/>
    <w:tmpl w:val="BFAA7D82"/>
    <w:lvl w:ilvl="0">
      <w:start w:val="1"/>
      <w:numFmt w:val="lowerLetter"/>
      <w:lvlText w:val="%1)"/>
      <w:lvlJc w:val="left"/>
      <w:pPr>
        <w:tabs>
          <w:tab w:val="num" w:pos="644"/>
        </w:tabs>
        <w:ind w:left="624" w:hanging="340"/>
      </w:pPr>
      <w:rPr>
        <w:rFonts w:hint="default"/>
      </w:rPr>
    </w:lvl>
  </w:abstractNum>
  <w:abstractNum w:abstractNumId="20" w15:restartNumberingAfterBreak="0">
    <w:nsid w:val="675D367D"/>
    <w:multiLevelType w:val="hybridMultilevel"/>
    <w:tmpl w:val="2E2835F4"/>
    <w:lvl w:ilvl="0" w:tplc="A7E6BF30">
      <w:start w:val="1"/>
      <w:numFmt w:val="lowerLetter"/>
      <w:lvlText w:val="%1)"/>
      <w:lvlJc w:val="left"/>
      <w:pPr>
        <w:tabs>
          <w:tab w:val="num" w:pos="502"/>
        </w:tabs>
        <w:ind w:left="482" w:hanging="34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2"/>
  </w:num>
  <w:num w:numId="17">
    <w:abstractNumId w:val="17"/>
  </w:num>
  <w:num w:numId="18">
    <w:abstractNumId w:val="20"/>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F2"/>
    <w:rsid w:val="00007CB7"/>
    <w:rsid w:val="0001299E"/>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4EE2"/>
    <w:rsid w:val="000E479B"/>
    <w:rsid w:val="000F2277"/>
    <w:rsid w:val="000F5BD7"/>
    <w:rsid w:val="000F70BC"/>
    <w:rsid w:val="0010414A"/>
    <w:rsid w:val="001213BB"/>
    <w:rsid w:val="00122F29"/>
    <w:rsid w:val="001334A4"/>
    <w:rsid w:val="00133E89"/>
    <w:rsid w:val="0014538F"/>
    <w:rsid w:val="001514AA"/>
    <w:rsid w:val="001536B6"/>
    <w:rsid w:val="0017525B"/>
    <w:rsid w:val="001867C5"/>
    <w:rsid w:val="00194E9B"/>
    <w:rsid w:val="001B4677"/>
    <w:rsid w:val="001E2BF0"/>
    <w:rsid w:val="001E64EC"/>
    <w:rsid w:val="001E7C15"/>
    <w:rsid w:val="001F1956"/>
    <w:rsid w:val="0021248F"/>
    <w:rsid w:val="002156A6"/>
    <w:rsid w:val="0022125A"/>
    <w:rsid w:val="002300CC"/>
    <w:rsid w:val="00232BB8"/>
    <w:rsid w:val="00233475"/>
    <w:rsid w:val="00240EFE"/>
    <w:rsid w:val="00251E62"/>
    <w:rsid w:val="00254AED"/>
    <w:rsid w:val="0025502B"/>
    <w:rsid w:val="002667BC"/>
    <w:rsid w:val="00272E45"/>
    <w:rsid w:val="00282CD6"/>
    <w:rsid w:val="002954BA"/>
    <w:rsid w:val="002A33DA"/>
    <w:rsid w:val="002A6366"/>
    <w:rsid w:val="002F0CA2"/>
    <w:rsid w:val="002F2872"/>
    <w:rsid w:val="0030079A"/>
    <w:rsid w:val="00317B67"/>
    <w:rsid w:val="00330326"/>
    <w:rsid w:val="00340BF2"/>
    <w:rsid w:val="00346B11"/>
    <w:rsid w:val="00351B01"/>
    <w:rsid w:val="00360A8C"/>
    <w:rsid w:val="00384005"/>
    <w:rsid w:val="00385833"/>
    <w:rsid w:val="00387422"/>
    <w:rsid w:val="003B0F0F"/>
    <w:rsid w:val="003B2912"/>
    <w:rsid w:val="003C099A"/>
    <w:rsid w:val="003D2555"/>
    <w:rsid w:val="003D7500"/>
    <w:rsid w:val="003E1DE9"/>
    <w:rsid w:val="003F0934"/>
    <w:rsid w:val="003F3C78"/>
    <w:rsid w:val="003F53B6"/>
    <w:rsid w:val="003F6934"/>
    <w:rsid w:val="00414C1E"/>
    <w:rsid w:val="00417F5E"/>
    <w:rsid w:val="00441CB5"/>
    <w:rsid w:val="004515B1"/>
    <w:rsid w:val="00451B80"/>
    <w:rsid w:val="00452E6E"/>
    <w:rsid w:val="00453C98"/>
    <w:rsid w:val="004774A7"/>
    <w:rsid w:val="00492600"/>
    <w:rsid w:val="004947EE"/>
    <w:rsid w:val="00495AC1"/>
    <w:rsid w:val="0049693E"/>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24100"/>
    <w:rsid w:val="00625322"/>
    <w:rsid w:val="00632454"/>
    <w:rsid w:val="00641978"/>
    <w:rsid w:val="00647088"/>
    <w:rsid w:val="00656AF9"/>
    <w:rsid w:val="00660F96"/>
    <w:rsid w:val="00663F61"/>
    <w:rsid w:val="006662A8"/>
    <w:rsid w:val="00670302"/>
    <w:rsid w:val="006730D7"/>
    <w:rsid w:val="00694F25"/>
    <w:rsid w:val="006A154C"/>
    <w:rsid w:val="006B578F"/>
    <w:rsid w:val="006C04E8"/>
    <w:rsid w:val="006C70AE"/>
    <w:rsid w:val="006C7D41"/>
    <w:rsid w:val="006E3A8F"/>
    <w:rsid w:val="006E5411"/>
    <w:rsid w:val="006F3FD2"/>
    <w:rsid w:val="00705F7D"/>
    <w:rsid w:val="007060E1"/>
    <w:rsid w:val="00712FC4"/>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60B4"/>
    <w:rsid w:val="008060CA"/>
    <w:rsid w:val="00821124"/>
    <w:rsid w:val="008325B9"/>
    <w:rsid w:val="0083390F"/>
    <w:rsid w:val="008435F4"/>
    <w:rsid w:val="00843B09"/>
    <w:rsid w:val="00852E6A"/>
    <w:rsid w:val="00856B3E"/>
    <w:rsid w:val="00862DA8"/>
    <w:rsid w:val="00864CF5"/>
    <w:rsid w:val="008665D8"/>
    <w:rsid w:val="00876DF2"/>
    <w:rsid w:val="008773F5"/>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57C8"/>
    <w:rsid w:val="009C76C6"/>
    <w:rsid w:val="009D399B"/>
    <w:rsid w:val="009E0BA1"/>
    <w:rsid w:val="009E2787"/>
    <w:rsid w:val="009E4CA5"/>
    <w:rsid w:val="009F4B5C"/>
    <w:rsid w:val="00A206D9"/>
    <w:rsid w:val="00A22BF5"/>
    <w:rsid w:val="00A41870"/>
    <w:rsid w:val="00A53E5F"/>
    <w:rsid w:val="00A55ED7"/>
    <w:rsid w:val="00A73985"/>
    <w:rsid w:val="00A755FD"/>
    <w:rsid w:val="00A84EE7"/>
    <w:rsid w:val="00AA6D0C"/>
    <w:rsid w:val="00AB39BD"/>
    <w:rsid w:val="00AB5EF2"/>
    <w:rsid w:val="00AC2C01"/>
    <w:rsid w:val="00AD2B35"/>
    <w:rsid w:val="00AD71BA"/>
    <w:rsid w:val="00AE31FC"/>
    <w:rsid w:val="00AE4DCD"/>
    <w:rsid w:val="00B00FBE"/>
    <w:rsid w:val="00B017DE"/>
    <w:rsid w:val="00B1655E"/>
    <w:rsid w:val="00B3029C"/>
    <w:rsid w:val="00B403D6"/>
    <w:rsid w:val="00B5473E"/>
    <w:rsid w:val="00B5514D"/>
    <w:rsid w:val="00B57905"/>
    <w:rsid w:val="00B64509"/>
    <w:rsid w:val="00B71CE9"/>
    <w:rsid w:val="00B748E0"/>
    <w:rsid w:val="00B8552A"/>
    <w:rsid w:val="00BA325F"/>
    <w:rsid w:val="00BB09E6"/>
    <w:rsid w:val="00BC12EE"/>
    <w:rsid w:val="00BD622F"/>
    <w:rsid w:val="00BE14BF"/>
    <w:rsid w:val="00BE28D9"/>
    <w:rsid w:val="00BE6779"/>
    <w:rsid w:val="00BE721D"/>
    <w:rsid w:val="00C01487"/>
    <w:rsid w:val="00C0693F"/>
    <w:rsid w:val="00C07373"/>
    <w:rsid w:val="00C12E66"/>
    <w:rsid w:val="00C130BF"/>
    <w:rsid w:val="00C236F8"/>
    <w:rsid w:val="00C31658"/>
    <w:rsid w:val="00C324D3"/>
    <w:rsid w:val="00C3263A"/>
    <w:rsid w:val="00C32A7E"/>
    <w:rsid w:val="00C422C4"/>
    <w:rsid w:val="00C4490A"/>
    <w:rsid w:val="00C459CF"/>
    <w:rsid w:val="00C5258A"/>
    <w:rsid w:val="00C83CCF"/>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E6850"/>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E040D"/>
    <w:rsid w:val="00EE219C"/>
    <w:rsid w:val="00EE4934"/>
    <w:rsid w:val="00EE4A99"/>
    <w:rsid w:val="00EE5CB7"/>
    <w:rsid w:val="00EF19B3"/>
    <w:rsid w:val="00F02286"/>
    <w:rsid w:val="00F026D4"/>
    <w:rsid w:val="00F04219"/>
    <w:rsid w:val="00F10459"/>
    <w:rsid w:val="00F13033"/>
    <w:rsid w:val="00F15A2D"/>
    <w:rsid w:val="00F30CD0"/>
    <w:rsid w:val="00F40291"/>
    <w:rsid w:val="00F5276B"/>
    <w:rsid w:val="00F53130"/>
    <w:rsid w:val="00F9693D"/>
    <w:rsid w:val="00FC2C69"/>
    <w:rsid w:val="00FC6713"/>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44819B"/>
  <w15:docId w15:val="{4D818ED1-B078-466E-A4B7-49CDC263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BF2"/>
    <w:rPr>
      <w:sz w:val="24"/>
      <w:szCs w:val="24"/>
      <w:lang w:val="en-US" w:eastAsia="en-US"/>
    </w:rPr>
  </w:style>
  <w:style w:type="paragraph" w:styleId="Overskrift1">
    <w:name w:val="heading 1"/>
    <w:basedOn w:val="Normal"/>
    <w:next w:val="Normal"/>
    <w:qFormat/>
    <w:rsid w:val="00EA3793"/>
    <w:pPr>
      <w:keepNext/>
      <w:spacing w:before="240"/>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style>
  <w:style w:type="paragraph" w:styleId="Overskrift8">
    <w:name w:val="heading 8"/>
    <w:basedOn w:val="Normal"/>
    <w:next w:val="Normal"/>
    <w:semiHidden/>
    <w:qFormat/>
    <w:rsid w:val="00F15A2D"/>
    <w:pPr>
      <w:spacing w:before="240" w:after="60"/>
      <w:outlineLvl w:val="7"/>
    </w:pPr>
    <w:rPr>
      <w:i/>
      <w:iCs/>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Liste">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Liste2">
    <w:name w:val="List 2"/>
    <w:basedOn w:val="Normal"/>
    <w:semiHidden/>
    <w:rsid w:val="00F15A2D"/>
    <w:pPr>
      <w:ind w:left="566" w:hanging="283"/>
    </w:pPr>
  </w:style>
  <w:style w:type="paragraph" w:styleId="Liste3">
    <w:name w:val="List 3"/>
    <w:basedOn w:val="Normal"/>
    <w:semiHidden/>
    <w:rsid w:val="00F15A2D"/>
    <w:pPr>
      <w:ind w:left="849" w:hanging="283"/>
    </w:pPr>
  </w:style>
  <w:style w:type="paragraph" w:styleId="Liste4">
    <w:name w:val="List 4"/>
    <w:basedOn w:val="Normal"/>
    <w:semiHidden/>
    <w:rsid w:val="00F15A2D"/>
    <w:pPr>
      <w:ind w:left="1132" w:hanging="283"/>
    </w:pPr>
  </w:style>
  <w:style w:type="paragraph" w:styleId="Liste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character" w:customStyle="1" w:styleId="SidefodTegn">
    <w:name w:val="Sidefod Tegn"/>
    <w:basedOn w:val="Standardskrifttypeiafsnit"/>
    <w:link w:val="Sidefod"/>
    <w:semiHidden/>
    <w:rsid w:val="00EF19B3"/>
    <w:rPr>
      <w:noProof/>
      <w:sz w:val="16"/>
      <w:lang w:eastAsia="en-US"/>
    </w:rPr>
  </w:style>
  <w:style w:type="paragraph" w:styleId="Listeafsnit">
    <w:name w:val="List Paragraph"/>
    <w:basedOn w:val="Normal"/>
    <w:uiPriority w:val="34"/>
    <w:semiHidden/>
    <w:qFormat/>
    <w:rsid w:val="00C45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aren.brynjolf.pedersen@natmus.d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Template>
  <TotalTime>10</TotalTime>
  <Pages>10</Pages>
  <Words>2096</Words>
  <Characters>11792</Characters>
  <Application>Microsoft Office Word</Application>
  <DocSecurity>0</DocSecurity>
  <Lines>368</Lines>
  <Paragraphs>146</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Ruhe, Rikke</dc:creator>
  <cp:lastModifiedBy>Pedersen, Karen Brynjolf</cp:lastModifiedBy>
  <cp:revision>8</cp:revision>
  <cp:lastPrinted>2019-09-20T09:03:00Z</cp:lastPrinted>
  <dcterms:created xsi:type="dcterms:W3CDTF">2019-10-03T07:24:00Z</dcterms:created>
  <dcterms:modified xsi:type="dcterms:W3CDTF">2022-04-20T12:14:00Z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